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74396" w14:textId="77777777" w:rsidR="000F2358" w:rsidRPr="000F2358" w:rsidRDefault="000F2358" w:rsidP="000F2358">
      <w:pPr>
        <w:spacing w:after="0"/>
        <w:jc w:val="left"/>
        <w:rPr>
          <w:rFonts w:ascii="Times New Roman" w:eastAsia="Times New Roman" w:hAnsi="Times New Roman" w:cs="Times New Roman"/>
          <w:b/>
        </w:rPr>
      </w:pPr>
      <w:r w:rsidRPr="000F2358">
        <w:rPr>
          <w:rFonts w:ascii="Times New Roman" w:eastAsia="Times New Roman" w:hAnsi="Times New Roman" w:cs="Times New Roman"/>
          <w:b/>
        </w:rPr>
        <w:t>Computational Algorithms for In Silico Profiling of Activating Mutations in Cancer</w:t>
      </w:r>
    </w:p>
    <w:p w14:paraId="6098AD34" w14:textId="77777777" w:rsidR="000F2358" w:rsidRPr="000F2358" w:rsidRDefault="000F2358" w:rsidP="000F2358">
      <w:pPr>
        <w:spacing w:after="0"/>
        <w:contextualSpacing/>
        <w:jc w:val="left"/>
        <w:rPr>
          <w:rFonts w:ascii="Times New Roman" w:eastAsia="Times New Roman" w:hAnsi="Times New Roman" w:cs="Times New Roman"/>
        </w:rPr>
      </w:pPr>
    </w:p>
    <w:p w14:paraId="5C398A51" w14:textId="77777777" w:rsidR="000F2358" w:rsidRPr="000F2358" w:rsidRDefault="000F2358" w:rsidP="000F2358">
      <w:pPr>
        <w:spacing w:after="0"/>
        <w:contextualSpacing/>
        <w:jc w:val="left"/>
        <w:rPr>
          <w:rFonts w:ascii="Times New Roman" w:eastAsia="Times New Roman" w:hAnsi="Times New Roman" w:cs="Times New Roman"/>
        </w:rPr>
      </w:pPr>
      <w:r w:rsidRPr="000F2358">
        <w:rPr>
          <w:rFonts w:ascii="Times New Roman" w:eastAsia="Times New Roman" w:hAnsi="Times New Roman" w:cs="Times New Roman"/>
        </w:rPr>
        <w:t>E. Joseph Jordan</w:t>
      </w:r>
      <w:r w:rsidRPr="000F2358">
        <w:rPr>
          <w:rFonts w:ascii="Times New Roman" w:eastAsia="Times New Roman" w:hAnsi="Times New Roman" w:cs="Times New Roman"/>
          <w:vertAlign w:val="superscript"/>
        </w:rPr>
        <w:t>1</w:t>
      </w:r>
      <w:r w:rsidRPr="000F2358">
        <w:rPr>
          <w:rFonts w:ascii="Times New Roman" w:eastAsia="Times New Roman" w:hAnsi="Times New Roman" w:cs="Times New Roman"/>
        </w:rPr>
        <w:t>, Keshav Patil</w:t>
      </w:r>
      <w:r w:rsidRPr="000F2358">
        <w:rPr>
          <w:rFonts w:ascii="Times New Roman" w:eastAsia="Times New Roman" w:hAnsi="Times New Roman" w:cs="Times New Roman"/>
          <w:vertAlign w:val="superscript"/>
        </w:rPr>
        <w:t>2</w:t>
      </w:r>
      <w:r w:rsidRPr="000F2358">
        <w:rPr>
          <w:rFonts w:ascii="Times New Roman" w:eastAsia="Times New Roman" w:hAnsi="Times New Roman" w:cs="Times New Roman"/>
        </w:rPr>
        <w:t>, Krishna Suresh</w:t>
      </w:r>
      <w:r w:rsidRPr="000F2358">
        <w:rPr>
          <w:rFonts w:ascii="Times New Roman" w:eastAsia="Times New Roman" w:hAnsi="Times New Roman" w:cs="Times New Roman"/>
          <w:vertAlign w:val="superscript"/>
        </w:rPr>
        <w:t>2</w:t>
      </w:r>
      <w:r w:rsidRPr="000F2358">
        <w:rPr>
          <w:rFonts w:ascii="Times New Roman" w:eastAsia="Times New Roman" w:hAnsi="Times New Roman" w:cs="Times New Roman"/>
        </w:rPr>
        <w:t>, Jin H. Park</w:t>
      </w:r>
      <w:r w:rsidRPr="000F2358">
        <w:rPr>
          <w:rFonts w:ascii="Times New Roman" w:eastAsia="Times New Roman" w:hAnsi="Times New Roman" w:cs="Times New Roman"/>
          <w:vertAlign w:val="superscript"/>
        </w:rPr>
        <w:t>3,4</w:t>
      </w:r>
      <w:r w:rsidRPr="000F2358">
        <w:rPr>
          <w:rFonts w:ascii="Times New Roman" w:eastAsia="Times New Roman" w:hAnsi="Times New Roman" w:cs="Times New Roman"/>
        </w:rPr>
        <w:t>, Yael P. Mosse</w:t>
      </w:r>
      <w:r w:rsidRPr="000F2358">
        <w:rPr>
          <w:rFonts w:ascii="Times New Roman" w:eastAsia="Times New Roman" w:hAnsi="Times New Roman" w:cs="Times New Roman"/>
          <w:vertAlign w:val="superscript"/>
        </w:rPr>
        <w:t>5,6</w:t>
      </w:r>
      <w:r w:rsidRPr="000F2358">
        <w:rPr>
          <w:rFonts w:ascii="Times New Roman" w:eastAsia="Times New Roman" w:hAnsi="Times New Roman" w:cs="Times New Roman"/>
        </w:rPr>
        <w:t>, Mark A. Lemmon</w:t>
      </w:r>
      <w:r w:rsidRPr="000F2358">
        <w:rPr>
          <w:rFonts w:ascii="Times New Roman" w:eastAsia="Times New Roman" w:hAnsi="Times New Roman" w:cs="Times New Roman"/>
          <w:vertAlign w:val="superscript"/>
        </w:rPr>
        <w:t>3,4</w:t>
      </w:r>
      <w:r w:rsidRPr="000F2358">
        <w:rPr>
          <w:rFonts w:ascii="Times New Roman" w:eastAsia="Times New Roman" w:hAnsi="Times New Roman" w:cs="Times New Roman"/>
        </w:rPr>
        <w:t>, and Ravi Radhakrishnan</w:t>
      </w:r>
      <w:r w:rsidRPr="000F2358">
        <w:rPr>
          <w:rFonts w:ascii="Times New Roman" w:eastAsia="Times New Roman" w:hAnsi="Times New Roman" w:cs="Times New Roman"/>
          <w:vertAlign w:val="superscript"/>
        </w:rPr>
        <w:t>1,2,7,*</w:t>
      </w:r>
    </w:p>
    <w:p w14:paraId="267C2AE1" w14:textId="77777777" w:rsidR="000F2358" w:rsidRDefault="000F2358" w:rsidP="000F2358">
      <w:pPr>
        <w:spacing w:after="0"/>
        <w:contextualSpacing/>
        <w:jc w:val="left"/>
        <w:rPr>
          <w:rFonts w:ascii="Times New Roman" w:eastAsia="Times New Roman" w:hAnsi="Times New Roman" w:cs="Times New Roman"/>
          <w:sz w:val="24"/>
          <w:szCs w:val="24"/>
          <w:vertAlign w:val="superscript"/>
        </w:rPr>
      </w:pPr>
    </w:p>
    <w:p w14:paraId="0485D155" w14:textId="56774728" w:rsidR="000F2358" w:rsidRPr="00167ACA" w:rsidRDefault="000F2358" w:rsidP="000F2358">
      <w:pPr>
        <w:spacing w:after="0"/>
        <w:contextualSpacing/>
        <w:jc w:val="left"/>
        <w:rPr>
          <w:rFonts w:ascii="Times New Roman" w:eastAsia="Times New Roman" w:hAnsi="Times New Roman" w:cs="Times New Roman"/>
          <w:sz w:val="20"/>
          <w:szCs w:val="20"/>
        </w:rPr>
      </w:pPr>
      <w:r w:rsidRPr="00411F26">
        <w:rPr>
          <w:rFonts w:ascii="Times New Roman" w:eastAsia="Times New Roman" w:hAnsi="Times New Roman" w:cs="Times New Roman"/>
          <w:noProof/>
          <w:sz w:val="20"/>
          <w:szCs w:val="20"/>
          <w:vertAlign w:val="superscript"/>
        </w:rPr>
        <w:t>1</w:t>
      </w:r>
      <w:r w:rsidRPr="00411F26">
        <w:rPr>
          <w:rFonts w:ascii="Times New Roman" w:eastAsia="Times New Roman" w:hAnsi="Times New Roman" w:cs="Times New Roman"/>
          <w:noProof/>
          <w:sz w:val="20"/>
          <w:szCs w:val="20"/>
        </w:rPr>
        <w:t>Graduate</w:t>
      </w:r>
      <w:r w:rsidRPr="00167ACA">
        <w:rPr>
          <w:rFonts w:ascii="Times New Roman" w:eastAsia="Times New Roman" w:hAnsi="Times New Roman" w:cs="Times New Roman"/>
          <w:sz w:val="20"/>
          <w:szCs w:val="20"/>
        </w:rPr>
        <w:t xml:space="preserve"> </w:t>
      </w:r>
      <w:r w:rsidR="00411F26">
        <w:rPr>
          <w:rFonts w:ascii="Times New Roman" w:eastAsia="Times New Roman" w:hAnsi="Times New Roman" w:cs="Times New Roman"/>
          <w:noProof/>
          <w:sz w:val="20"/>
          <w:szCs w:val="20"/>
        </w:rPr>
        <w:t>G</w:t>
      </w:r>
      <w:r w:rsidRPr="00411F26">
        <w:rPr>
          <w:rFonts w:ascii="Times New Roman" w:eastAsia="Times New Roman" w:hAnsi="Times New Roman" w:cs="Times New Roman"/>
          <w:noProof/>
          <w:sz w:val="20"/>
          <w:szCs w:val="20"/>
        </w:rPr>
        <w:t>roup</w:t>
      </w:r>
      <w:r w:rsidRPr="00167A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167ACA">
        <w:rPr>
          <w:rFonts w:ascii="Times New Roman" w:eastAsia="Times New Roman" w:hAnsi="Times New Roman" w:cs="Times New Roman"/>
          <w:sz w:val="20"/>
          <w:szCs w:val="20"/>
        </w:rPr>
        <w:t xml:space="preserve"> Biochemistry and Molecular Biophysics, University of Pennsylvania, Philadelphia PA USA</w:t>
      </w:r>
    </w:p>
    <w:p w14:paraId="1CBC6A52" w14:textId="77777777" w:rsidR="000F2358" w:rsidRPr="00167ACA" w:rsidRDefault="000F2358" w:rsidP="000F2358">
      <w:pPr>
        <w:spacing w:after="0"/>
        <w:contextualSpacing/>
        <w:jc w:val="left"/>
        <w:rPr>
          <w:rFonts w:ascii="Times New Roman" w:eastAsia="Times New Roman" w:hAnsi="Times New Roman" w:cs="Times New Roman"/>
          <w:sz w:val="20"/>
          <w:szCs w:val="20"/>
        </w:rPr>
      </w:pPr>
      <w:r w:rsidRPr="00167ACA">
        <w:rPr>
          <w:rFonts w:ascii="Times New Roman" w:eastAsia="Times New Roman" w:hAnsi="Times New Roman" w:cs="Times New Roman"/>
          <w:sz w:val="20"/>
          <w:szCs w:val="20"/>
          <w:vertAlign w:val="superscript"/>
        </w:rPr>
        <w:t>2</w:t>
      </w:r>
      <w:r w:rsidRPr="00167ACA">
        <w:rPr>
          <w:rFonts w:ascii="Times New Roman" w:eastAsia="Times New Roman" w:hAnsi="Times New Roman" w:cs="Times New Roman"/>
          <w:sz w:val="20"/>
          <w:szCs w:val="20"/>
        </w:rPr>
        <w:t>Department of Chemical and Biomolecular Engineering, University of Pennsylvania, Philadelphia PA USA</w:t>
      </w:r>
    </w:p>
    <w:p w14:paraId="0347875C" w14:textId="77777777" w:rsidR="000F2358" w:rsidRPr="00167ACA" w:rsidRDefault="000F2358" w:rsidP="000F2358">
      <w:pPr>
        <w:spacing w:after="0"/>
        <w:contextualSpacing/>
        <w:jc w:val="left"/>
        <w:rPr>
          <w:rFonts w:ascii="Times New Roman" w:eastAsia="Times New Roman" w:hAnsi="Times New Roman" w:cs="Times New Roman"/>
          <w:sz w:val="20"/>
          <w:szCs w:val="20"/>
        </w:rPr>
      </w:pPr>
      <w:r w:rsidRPr="00167ACA">
        <w:rPr>
          <w:rFonts w:ascii="Times New Roman" w:eastAsia="Times New Roman" w:hAnsi="Times New Roman" w:cs="Times New Roman"/>
          <w:sz w:val="20"/>
          <w:szCs w:val="20"/>
          <w:vertAlign w:val="superscript"/>
        </w:rPr>
        <w:t>3</w:t>
      </w:r>
      <w:r w:rsidRPr="00167ACA">
        <w:rPr>
          <w:rFonts w:ascii="Times New Roman" w:eastAsia="Times New Roman" w:hAnsi="Times New Roman" w:cs="Times New Roman"/>
          <w:sz w:val="20"/>
          <w:szCs w:val="20"/>
        </w:rPr>
        <w:t>Department of Pharmacology, Yale University, New Haven CT USA</w:t>
      </w:r>
    </w:p>
    <w:p w14:paraId="6A209768" w14:textId="77777777" w:rsidR="000F2358" w:rsidRPr="00167ACA" w:rsidRDefault="000F2358" w:rsidP="000F2358">
      <w:pPr>
        <w:spacing w:after="0"/>
        <w:contextualSpacing/>
        <w:jc w:val="left"/>
        <w:rPr>
          <w:rFonts w:ascii="Times New Roman" w:eastAsia="Times New Roman" w:hAnsi="Times New Roman" w:cs="Times New Roman"/>
          <w:sz w:val="20"/>
          <w:szCs w:val="20"/>
        </w:rPr>
      </w:pPr>
      <w:r w:rsidRPr="00167ACA">
        <w:rPr>
          <w:rFonts w:ascii="Times New Roman" w:eastAsia="Times New Roman" w:hAnsi="Times New Roman" w:cs="Times New Roman"/>
          <w:sz w:val="20"/>
          <w:szCs w:val="20"/>
          <w:vertAlign w:val="superscript"/>
        </w:rPr>
        <w:t>4</w:t>
      </w:r>
      <w:r w:rsidRPr="00167ACA">
        <w:rPr>
          <w:rFonts w:ascii="Times New Roman" w:eastAsia="Times New Roman" w:hAnsi="Times New Roman" w:cs="Times New Roman"/>
          <w:sz w:val="20"/>
          <w:szCs w:val="20"/>
        </w:rPr>
        <w:t xml:space="preserve">Cancer Biology Institute, Yale University, </w:t>
      </w:r>
      <w:r>
        <w:rPr>
          <w:rFonts w:ascii="Times New Roman" w:eastAsia="Times New Roman" w:hAnsi="Times New Roman" w:cs="Times New Roman"/>
          <w:sz w:val="20"/>
          <w:szCs w:val="20"/>
        </w:rPr>
        <w:t>West</w:t>
      </w:r>
      <w:r w:rsidRPr="00167ACA">
        <w:rPr>
          <w:rFonts w:ascii="Times New Roman" w:eastAsia="Times New Roman" w:hAnsi="Times New Roman" w:cs="Times New Roman"/>
          <w:sz w:val="20"/>
          <w:szCs w:val="20"/>
        </w:rPr>
        <w:t xml:space="preserve"> Haven CT USA</w:t>
      </w:r>
    </w:p>
    <w:p w14:paraId="7F5D5974" w14:textId="77777777" w:rsidR="000F2358" w:rsidRPr="00167ACA" w:rsidRDefault="000F2358" w:rsidP="000F2358">
      <w:pPr>
        <w:spacing w:after="0"/>
        <w:contextualSpacing/>
        <w:jc w:val="left"/>
        <w:rPr>
          <w:rFonts w:ascii="Times New Roman" w:eastAsia="Times New Roman" w:hAnsi="Times New Roman" w:cs="Times New Roman"/>
          <w:sz w:val="20"/>
          <w:szCs w:val="20"/>
        </w:rPr>
      </w:pPr>
      <w:r w:rsidRPr="00167ACA">
        <w:rPr>
          <w:rFonts w:ascii="Times New Roman" w:eastAsia="Times New Roman" w:hAnsi="Times New Roman" w:cs="Times New Roman"/>
          <w:sz w:val="20"/>
          <w:szCs w:val="20"/>
          <w:vertAlign w:val="superscript"/>
        </w:rPr>
        <w:t>5</w:t>
      </w:r>
      <w:r w:rsidRPr="00167ACA">
        <w:rPr>
          <w:rFonts w:ascii="Times New Roman" w:eastAsia="Times New Roman" w:hAnsi="Times New Roman" w:cs="Times New Roman"/>
          <w:sz w:val="20"/>
          <w:szCs w:val="20"/>
        </w:rPr>
        <w:t>Department of Pediatrics, Perelman School of Medicine, University of Pennsylvania, Philadelphia PA USA</w:t>
      </w:r>
    </w:p>
    <w:p w14:paraId="3B3DC4D5" w14:textId="77777777" w:rsidR="000F2358" w:rsidRPr="00167ACA" w:rsidRDefault="000F2358" w:rsidP="000F2358">
      <w:pPr>
        <w:spacing w:after="0"/>
        <w:contextualSpacing/>
        <w:jc w:val="left"/>
        <w:rPr>
          <w:rFonts w:ascii="Times New Roman" w:eastAsia="Times New Roman" w:hAnsi="Times New Roman" w:cs="Times New Roman"/>
          <w:sz w:val="20"/>
          <w:szCs w:val="20"/>
        </w:rPr>
      </w:pPr>
      <w:r w:rsidRPr="00167ACA">
        <w:rPr>
          <w:rFonts w:ascii="Times New Roman" w:eastAsia="Times New Roman" w:hAnsi="Times New Roman" w:cs="Times New Roman"/>
          <w:sz w:val="20"/>
          <w:szCs w:val="20"/>
          <w:vertAlign w:val="superscript"/>
        </w:rPr>
        <w:t>6</w:t>
      </w:r>
      <w:r w:rsidRPr="00167ACA">
        <w:rPr>
          <w:rFonts w:ascii="Times New Roman" w:eastAsia="Times New Roman" w:hAnsi="Times New Roman" w:cs="Times New Roman"/>
          <w:sz w:val="20"/>
          <w:szCs w:val="20"/>
        </w:rPr>
        <w:t>Childrens Hospital of Philadelphia, Philadelphia PA USA</w:t>
      </w:r>
    </w:p>
    <w:p w14:paraId="4BB4E570" w14:textId="77777777" w:rsidR="000F2358" w:rsidRPr="00167ACA" w:rsidRDefault="000F2358" w:rsidP="000F2358">
      <w:pPr>
        <w:spacing w:after="0"/>
        <w:contextualSpacing/>
        <w:jc w:val="left"/>
        <w:rPr>
          <w:rFonts w:ascii="Times New Roman" w:eastAsia="Times New Roman" w:hAnsi="Times New Roman" w:cs="Times New Roman"/>
          <w:sz w:val="20"/>
          <w:szCs w:val="20"/>
          <w:vertAlign w:val="superscript"/>
        </w:rPr>
      </w:pPr>
      <w:r w:rsidRPr="00167ACA">
        <w:rPr>
          <w:rFonts w:ascii="Times New Roman" w:eastAsia="Times New Roman" w:hAnsi="Times New Roman" w:cs="Times New Roman"/>
          <w:sz w:val="20"/>
          <w:szCs w:val="20"/>
          <w:vertAlign w:val="superscript"/>
        </w:rPr>
        <w:t>7</w:t>
      </w:r>
      <w:r w:rsidRPr="00167ACA">
        <w:rPr>
          <w:rFonts w:ascii="Times New Roman" w:eastAsia="Times New Roman" w:hAnsi="Times New Roman" w:cs="Times New Roman"/>
          <w:sz w:val="20"/>
          <w:szCs w:val="20"/>
        </w:rPr>
        <w:t>Department of Bioengineering, University of Pennsylvania, Philadelphia PA USA</w:t>
      </w:r>
    </w:p>
    <w:p w14:paraId="75D2CD28" w14:textId="77777777" w:rsidR="000F2358" w:rsidRPr="00167ACA" w:rsidRDefault="000F2358" w:rsidP="000F2358">
      <w:pPr>
        <w:spacing w:after="0"/>
        <w:contextualSpacing/>
        <w:jc w:val="left"/>
        <w:rPr>
          <w:rFonts w:ascii="Times New Roman" w:eastAsia="Times New Roman" w:hAnsi="Times New Roman" w:cs="Times New Roman"/>
          <w:sz w:val="20"/>
          <w:szCs w:val="20"/>
        </w:rPr>
      </w:pPr>
      <w:r w:rsidRPr="00167ACA">
        <w:rPr>
          <w:rFonts w:ascii="Times New Roman" w:eastAsia="Times New Roman" w:hAnsi="Times New Roman" w:cs="Times New Roman"/>
          <w:sz w:val="20"/>
          <w:szCs w:val="20"/>
        </w:rPr>
        <w:t>* Address correspondence to rradhak@seas.upenn.edu</w:t>
      </w:r>
    </w:p>
    <w:p w14:paraId="55DF243D" w14:textId="4F42A2D3" w:rsidR="000F2358" w:rsidRPr="000F2358" w:rsidRDefault="000F2358" w:rsidP="000F2358">
      <w:pPr>
        <w:spacing w:after="0"/>
        <w:contextualSpacing/>
        <w:jc w:val="left"/>
        <w:rPr>
          <w:rFonts w:ascii="Times New Roman" w:hAnsi="Times New Roman" w:cs="Times New Roman"/>
          <w:b/>
        </w:rPr>
      </w:pPr>
    </w:p>
    <w:p w14:paraId="6C7E13DF" w14:textId="12380575" w:rsidR="000F2358" w:rsidRPr="000F2358" w:rsidRDefault="000F2358" w:rsidP="000F2358">
      <w:pPr>
        <w:spacing w:after="0"/>
        <w:jc w:val="left"/>
        <w:rPr>
          <w:rFonts w:ascii="Times New Roman" w:hAnsi="Times New Roman" w:cs="Times New Roman"/>
        </w:rPr>
      </w:pPr>
      <w:r w:rsidRPr="000F2358">
        <w:rPr>
          <w:rFonts w:ascii="Times New Roman" w:hAnsi="Times New Roman" w:cs="Times New Roman"/>
          <w:b/>
        </w:rPr>
        <w:t>Abstract</w:t>
      </w:r>
      <w:r w:rsidRPr="000F2358">
        <w:rPr>
          <w:rFonts w:ascii="Times New Roman" w:hAnsi="Times New Roman" w:cs="Times New Roman"/>
        </w:rPr>
        <w:t>: Methods to catalog and computationally assess the mutational landscape of proteins in human cancers are desirable, and have implications for cohort selection in clinical trials, and for managing drug resistance to targeted therapies. The currently existing approaches to adapt evolutionary or sequence-based methods for predicting whether a single nucleotide polymorphism (SNP) is deleterious to protein structure and function are less than satisfactory as predictive tool</w:t>
      </w:r>
      <w:r w:rsidR="00411F26">
        <w:rPr>
          <w:rFonts w:ascii="Times New Roman" w:hAnsi="Times New Roman" w:cs="Times New Roman"/>
        </w:rPr>
        <w:t>s</w:t>
      </w:r>
      <w:r w:rsidRPr="000F2358">
        <w:rPr>
          <w:rFonts w:ascii="Times New Roman" w:hAnsi="Times New Roman" w:cs="Times New Roman"/>
        </w:rPr>
        <w:t xml:space="preserve">. We present two classes of approaches, the first is structure-based and involves multiscale molecular modeling, and the second is chemical-biology-based and involves data science and machine learning. We compare their performances to those of existing methods on clinical datasets of observed mutations in kinase signaling proteins in human cancers. In cases where understanding the mechanism of protein activation and regulation is desired, structure-based computational approaches to predict the effects of point mutations. Through a case study of mutations in kinase domains of three proteins, namely, the anaplastic lymphoma kinase (ALK) in pediatric neuroblastoma patients, serine/threonine-protein kinase B-Raf (BRAF) in melanoma patients, and </w:t>
      </w:r>
      <w:r w:rsidRPr="00411F26">
        <w:rPr>
          <w:rFonts w:ascii="Times New Roman" w:hAnsi="Times New Roman" w:cs="Times New Roman"/>
          <w:noProof/>
        </w:rPr>
        <w:t>erythroblastic</w:t>
      </w:r>
      <w:r w:rsidRPr="000F2358">
        <w:rPr>
          <w:rFonts w:ascii="Times New Roman" w:hAnsi="Times New Roman" w:cs="Times New Roman"/>
        </w:rPr>
        <w:t xml:space="preserve"> oncogene B 2 (ErbB2 or HER2) in breast cancer patients, we compare the two approaches above. We find that the structure-based method is most appropriate for developing a binary classification of several different mutations, especially infrequently occurring ones, </w:t>
      </w:r>
      <w:r w:rsidR="00411F26">
        <w:rPr>
          <w:rFonts w:ascii="Times New Roman" w:hAnsi="Times New Roman" w:cs="Times New Roman"/>
          <w:noProof/>
        </w:rPr>
        <w:t>concerning</w:t>
      </w:r>
      <w:r w:rsidRPr="000F2358">
        <w:rPr>
          <w:rFonts w:ascii="Times New Roman" w:hAnsi="Times New Roman" w:cs="Times New Roman"/>
        </w:rPr>
        <w:t xml:space="preserve"> the activation status of the given target protein</w:t>
      </w:r>
      <w:r w:rsidR="00411F26">
        <w:rPr>
          <w:rFonts w:ascii="Times New Roman" w:hAnsi="Times New Roman" w:cs="Times New Roman"/>
        </w:rPr>
        <w:t>;</w:t>
      </w:r>
      <w:r w:rsidRPr="000F2358">
        <w:rPr>
          <w:rFonts w:ascii="Times New Roman" w:hAnsi="Times New Roman" w:cs="Times New Roman"/>
        </w:rPr>
        <w:t xml:space="preserve"> </w:t>
      </w:r>
      <w:r w:rsidR="00411F26" w:rsidRPr="00411F26">
        <w:rPr>
          <w:rFonts w:ascii="Times New Roman" w:hAnsi="Times New Roman" w:cs="Times New Roman"/>
          <w:noProof/>
        </w:rPr>
        <w:t>t</w:t>
      </w:r>
      <w:r w:rsidRPr="00411F26">
        <w:rPr>
          <w:rFonts w:ascii="Times New Roman" w:hAnsi="Times New Roman" w:cs="Times New Roman"/>
          <w:noProof/>
        </w:rPr>
        <w:t>his</w:t>
      </w:r>
      <w:r w:rsidRPr="000F2358">
        <w:rPr>
          <w:rFonts w:ascii="Times New Roman" w:hAnsi="Times New Roman" w:cs="Times New Roman"/>
        </w:rPr>
        <w:t xml:space="preserve"> is especially true if the effects of mutations on the interactions of inhibitors with the target proteins </w:t>
      </w:r>
      <w:r w:rsidRPr="00411F26">
        <w:rPr>
          <w:rFonts w:ascii="Times New Roman" w:hAnsi="Times New Roman" w:cs="Times New Roman"/>
          <w:noProof/>
        </w:rPr>
        <w:t xml:space="preserve">are </w:t>
      </w:r>
      <w:r w:rsidR="00411F26" w:rsidRPr="00411F26">
        <w:rPr>
          <w:rFonts w:ascii="Times New Roman" w:hAnsi="Times New Roman" w:cs="Times New Roman"/>
          <w:noProof/>
        </w:rPr>
        <w:t>desired</w:t>
      </w:r>
      <w:r w:rsidRPr="000F2358">
        <w:rPr>
          <w:rFonts w:ascii="Times New Roman" w:hAnsi="Times New Roman" w:cs="Times New Roman"/>
        </w:rPr>
        <w:t xml:space="preserve">. However, many patients will present with mutations spread across different target proteins, making structure-based models computationally demanding to implement and execute. In this scenario, </w:t>
      </w:r>
      <w:r w:rsidRPr="00411F26">
        <w:rPr>
          <w:rFonts w:ascii="Times New Roman" w:hAnsi="Times New Roman" w:cs="Times New Roman"/>
          <w:noProof/>
        </w:rPr>
        <w:t>machine</w:t>
      </w:r>
      <w:r w:rsidRPr="000F2358">
        <w:rPr>
          <w:rFonts w:ascii="Times New Roman" w:hAnsi="Times New Roman" w:cs="Times New Roman"/>
        </w:rPr>
        <w:t xml:space="preserve"> learning method</w:t>
      </w:r>
      <w:r w:rsidR="00411F26">
        <w:rPr>
          <w:rFonts w:ascii="Times New Roman" w:hAnsi="Times New Roman" w:cs="Times New Roman"/>
        </w:rPr>
        <w:t>s,</w:t>
      </w:r>
      <w:r w:rsidRPr="000F2358">
        <w:rPr>
          <w:rFonts w:ascii="Times New Roman" w:hAnsi="Times New Roman" w:cs="Times New Roman"/>
        </w:rPr>
        <w:t xml:space="preserve"> including those based on support vector machines</w:t>
      </w:r>
      <w:r w:rsidR="00411F26">
        <w:rPr>
          <w:rFonts w:ascii="Times New Roman" w:hAnsi="Times New Roman" w:cs="Times New Roman"/>
        </w:rPr>
        <w:t>,</w:t>
      </w:r>
      <w:r w:rsidRPr="000F2358">
        <w:rPr>
          <w:rFonts w:ascii="Times New Roman" w:hAnsi="Times New Roman" w:cs="Times New Roman"/>
        </w:rPr>
        <w:t xml:space="preserve"> are most appropriate for recognizing and illuminate mutational patterns. We show, however, that in the present status of the field, the two methods have very different accuracies and confidence values and hence the optimal choice of their deployment is context-dependent. We also identify unique opportunities for combining the two approaches in developing better-predictors in the future</w:t>
      </w:r>
    </w:p>
    <w:p w14:paraId="183AFECB" w14:textId="77777777" w:rsidR="007445FC" w:rsidRDefault="007445FC" w:rsidP="000F2358">
      <w:pPr>
        <w:spacing w:after="0"/>
        <w:jc w:val="left"/>
        <w:rPr>
          <w:rFonts w:ascii="Times New Roman" w:hAnsi="Times New Roman" w:cs="Times New Roman"/>
          <w:b/>
          <w:sz w:val="18"/>
          <w:szCs w:val="18"/>
        </w:rPr>
      </w:pPr>
    </w:p>
    <w:p w14:paraId="5B12EBB5" w14:textId="1277C7DC" w:rsidR="000F2358" w:rsidRPr="007445FC" w:rsidRDefault="000F2358" w:rsidP="000F2358">
      <w:pPr>
        <w:spacing w:after="0"/>
        <w:jc w:val="left"/>
        <w:rPr>
          <w:rFonts w:ascii="Times New Roman" w:hAnsi="Times New Roman" w:cs="Times New Roman"/>
          <w:b/>
          <w:sz w:val="18"/>
          <w:szCs w:val="18"/>
        </w:rPr>
      </w:pPr>
      <w:r w:rsidRPr="007445FC">
        <w:rPr>
          <w:rFonts w:ascii="Times New Roman" w:hAnsi="Times New Roman" w:cs="Times New Roman"/>
          <w:b/>
          <w:sz w:val="18"/>
          <w:szCs w:val="18"/>
        </w:rPr>
        <w:t xml:space="preserve">Funding: </w:t>
      </w:r>
      <w:r w:rsidRPr="007445FC">
        <w:rPr>
          <w:rFonts w:ascii="Times New Roman" w:hAnsi="Times New Roman" w:cs="Times New Roman"/>
          <w:sz w:val="18"/>
          <w:szCs w:val="18"/>
        </w:rPr>
        <w:t>FP7-ICT-2011-9-600841 (European Commission), U54 CA193417, U01 CA227550 (NCI)</w:t>
      </w:r>
    </w:p>
    <w:p w14:paraId="4AFB0637" w14:textId="4A6D466D" w:rsidR="000F2358" w:rsidRPr="007445FC" w:rsidRDefault="000F2358" w:rsidP="000F2358">
      <w:pPr>
        <w:spacing w:after="0"/>
        <w:jc w:val="left"/>
        <w:rPr>
          <w:rFonts w:ascii="Times New Roman" w:hAnsi="Times New Roman" w:cs="Times New Roman"/>
          <w:sz w:val="18"/>
          <w:szCs w:val="18"/>
        </w:rPr>
      </w:pPr>
      <w:r w:rsidRPr="007445FC">
        <w:rPr>
          <w:rFonts w:ascii="Times New Roman" w:hAnsi="Times New Roman" w:cs="Times New Roman"/>
          <w:b/>
          <w:sz w:val="18"/>
          <w:szCs w:val="18"/>
        </w:rPr>
        <w:t>Keywords:</w:t>
      </w:r>
      <w:r w:rsidRPr="007445FC">
        <w:rPr>
          <w:rFonts w:ascii="Times New Roman" w:hAnsi="Times New Roman" w:cs="Times New Roman"/>
          <w:sz w:val="18"/>
          <w:szCs w:val="18"/>
        </w:rPr>
        <w:t xml:space="preserve"> machine learning, molecular dynamics, enhanced sampling, driver mutations, passenger mutations, structural bioinformatics</w:t>
      </w:r>
    </w:p>
    <w:p w14:paraId="5D33B244" w14:textId="0344B2BE" w:rsidR="000F2358" w:rsidRPr="007445FC" w:rsidRDefault="000F2358" w:rsidP="000F2358">
      <w:pPr>
        <w:spacing w:after="0"/>
        <w:jc w:val="left"/>
        <w:rPr>
          <w:rFonts w:ascii="Times New Roman" w:hAnsi="Times New Roman" w:cs="Times New Roman"/>
          <w:sz w:val="18"/>
          <w:szCs w:val="18"/>
        </w:rPr>
      </w:pPr>
      <w:r w:rsidRPr="007445FC">
        <w:rPr>
          <w:rFonts w:ascii="Times New Roman" w:hAnsi="Times New Roman" w:cs="Times New Roman"/>
          <w:b/>
          <w:sz w:val="18"/>
          <w:szCs w:val="18"/>
        </w:rPr>
        <w:t>References</w:t>
      </w:r>
      <w:r w:rsidRPr="007445FC">
        <w:rPr>
          <w:rFonts w:ascii="Times New Roman" w:hAnsi="Times New Roman" w:cs="Times New Roman"/>
          <w:sz w:val="18"/>
          <w:szCs w:val="18"/>
        </w:rPr>
        <w:t>:</w:t>
      </w:r>
    </w:p>
    <w:p w14:paraId="472F13A0" w14:textId="25C1618A" w:rsidR="00397496" w:rsidRPr="007445FC" w:rsidRDefault="000F2358">
      <w:pPr>
        <w:rPr>
          <w:rFonts w:ascii="Times New Roman" w:hAnsi="Times New Roman" w:cs="Times New Roman"/>
          <w:sz w:val="18"/>
          <w:szCs w:val="18"/>
        </w:rPr>
      </w:pPr>
      <w:r w:rsidRPr="007445FC">
        <w:rPr>
          <w:rFonts w:ascii="Times New Roman" w:hAnsi="Times New Roman" w:cs="Times New Roman"/>
          <w:sz w:val="18"/>
          <w:szCs w:val="18"/>
        </w:rPr>
        <w:t xml:space="preserve">Integrative functional assessment of ALK mutations for therapeutic stratification in neuroblastoma, D. Weiser, S. Bressler, P. J. </w:t>
      </w:r>
      <w:proofErr w:type="spellStart"/>
      <w:r w:rsidRPr="007445FC">
        <w:rPr>
          <w:rFonts w:ascii="Times New Roman" w:hAnsi="Times New Roman" w:cs="Times New Roman"/>
          <w:sz w:val="18"/>
          <w:szCs w:val="18"/>
        </w:rPr>
        <w:t>Huwe</w:t>
      </w:r>
      <w:proofErr w:type="spellEnd"/>
      <w:r w:rsidRPr="007445FC">
        <w:rPr>
          <w:rFonts w:ascii="Times New Roman" w:hAnsi="Times New Roman" w:cs="Times New Roman"/>
          <w:sz w:val="18"/>
          <w:szCs w:val="18"/>
        </w:rPr>
        <w:t xml:space="preserve">, R. Radhakrishnan, M. A. Lemmon, Y. Mosse, </w:t>
      </w:r>
      <w:r w:rsidRPr="007445FC">
        <w:rPr>
          <w:rFonts w:ascii="Times New Roman" w:hAnsi="Times New Roman" w:cs="Times New Roman"/>
          <w:sz w:val="18"/>
          <w:szCs w:val="18"/>
          <w:u w:val="single"/>
        </w:rPr>
        <w:t>Cancer Cell</w:t>
      </w:r>
      <w:r w:rsidRPr="007445FC">
        <w:rPr>
          <w:rFonts w:ascii="Times New Roman" w:hAnsi="Times New Roman" w:cs="Times New Roman"/>
          <w:sz w:val="18"/>
          <w:szCs w:val="18"/>
        </w:rPr>
        <w:t>, 2014, 26, 682-694. DOI: 10.1016/j.ccell.2014.09.019.</w:t>
      </w:r>
    </w:p>
    <w:p w14:paraId="06C7A8CD" w14:textId="410FFA3E" w:rsidR="000F2358" w:rsidRPr="007445FC" w:rsidRDefault="000F2358">
      <w:pPr>
        <w:rPr>
          <w:rFonts w:ascii="Times New Roman" w:hAnsi="Times New Roman" w:cs="Times New Roman"/>
          <w:sz w:val="18"/>
          <w:szCs w:val="18"/>
          <w:lang w:val="en-GB" w:eastAsia="de-DE"/>
        </w:rPr>
      </w:pPr>
      <w:r w:rsidRPr="007445FC">
        <w:rPr>
          <w:rFonts w:ascii="Times New Roman" w:hAnsi="Times New Roman" w:cs="Times New Roman"/>
          <w:sz w:val="18"/>
          <w:szCs w:val="18"/>
          <w:lang w:val="en-GB" w:eastAsia="de-DE"/>
        </w:rPr>
        <w:t xml:space="preserve">Machine learning predictions of cancer driver mutations, </w:t>
      </w:r>
      <w:r w:rsidRPr="007445FC">
        <w:rPr>
          <w:rFonts w:ascii="Times New Roman" w:hAnsi="Times New Roman" w:cs="Times New Roman"/>
          <w:sz w:val="18"/>
          <w:szCs w:val="18"/>
          <w:lang w:val="de-DE" w:eastAsia="de-DE"/>
        </w:rPr>
        <w:t>E. Jordan, R. Radhakrishnan</w:t>
      </w:r>
      <w:r w:rsidRPr="007445FC">
        <w:rPr>
          <w:rFonts w:ascii="Times New Roman" w:hAnsi="Times New Roman" w:cs="Times New Roman"/>
          <w:sz w:val="18"/>
          <w:szCs w:val="18"/>
          <w:lang w:val="en-GB" w:eastAsia="de-DE"/>
        </w:rPr>
        <w:t xml:space="preserve">, IEEE Proceedings of the </w:t>
      </w:r>
      <w:r w:rsidRPr="007445FC">
        <w:rPr>
          <w:rFonts w:ascii="Times New Roman" w:hAnsi="Times New Roman" w:cs="Times New Roman"/>
          <w:sz w:val="18"/>
          <w:szCs w:val="18"/>
          <w:u w:val="single"/>
        </w:rPr>
        <w:t>6</w:t>
      </w:r>
      <w:r w:rsidRPr="007445FC">
        <w:rPr>
          <w:rFonts w:ascii="Times New Roman" w:hAnsi="Times New Roman" w:cs="Times New Roman"/>
          <w:sz w:val="18"/>
          <w:szCs w:val="18"/>
          <w:u w:val="single"/>
          <w:vertAlign w:val="superscript"/>
        </w:rPr>
        <w:t>th</w:t>
      </w:r>
      <w:r w:rsidRPr="007445FC">
        <w:rPr>
          <w:rFonts w:ascii="Times New Roman" w:hAnsi="Times New Roman" w:cs="Times New Roman"/>
          <w:sz w:val="18"/>
          <w:szCs w:val="18"/>
          <w:u w:val="single"/>
        </w:rPr>
        <w:t xml:space="preserve"> International </w:t>
      </w:r>
      <w:bookmarkStart w:id="0" w:name="_GoBack"/>
      <w:bookmarkEnd w:id="0"/>
      <w:r w:rsidRPr="007445FC">
        <w:rPr>
          <w:rFonts w:ascii="Times New Roman" w:hAnsi="Times New Roman" w:cs="Times New Roman"/>
          <w:sz w:val="18"/>
          <w:szCs w:val="18"/>
          <w:u w:val="single"/>
        </w:rPr>
        <w:t>Advanced Research Workshop on In Silico Oncology and Cancer Investigation</w:t>
      </w:r>
      <w:r w:rsidRPr="007445FC">
        <w:rPr>
          <w:rFonts w:ascii="Times New Roman" w:hAnsi="Times New Roman" w:cs="Times New Roman"/>
          <w:sz w:val="18"/>
          <w:szCs w:val="18"/>
          <w:lang w:val="en-GB" w:eastAsia="de-DE"/>
        </w:rPr>
        <w:t>, 2014, pp1-4. DOI: 10.1109/IARWISOCI.2014.7034632</w:t>
      </w:r>
    </w:p>
    <w:p w14:paraId="1CFFF22B" w14:textId="69459BD3" w:rsidR="000F2358" w:rsidRPr="007445FC" w:rsidRDefault="000F2358" w:rsidP="00C34978">
      <w:pPr>
        <w:rPr>
          <w:rFonts w:ascii="Times New Roman" w:hAnsi="Times New Roman" w:cs="Times New Roman"/>
          <w:sz w:val="18"/>
          <w:szCs w:val="18"/>
        </w:rPr>
      </w:pPr>
      <w:r w:rsidRPr="007445FC">
        <w:rPr>
          <w:rFonts w:ascii="Times New Roman" w:hAnsi="Times New Roman" w:cs="Times New Roman"/>
          <w:sz w:val="18"/>
          <w:szCs w:val="18"/>
        </w:rPr>
        <w:t>In silico profiling of activating mutations in cancer, E. Jordan, K. Patil, K. Suresh, J. Park, Y. Mosse, M. A. Lemmon, R. Radhakrishnan, 2019, Cellular and Molecular Life Sciences</w:t>
      </w:r>
      <w:r w:rsidR="00C34978" w:rsidRPr="007445FC">
        <w:rPr>
          <w:rFonts w:ascii="Times New Roman" w:hAnsi="Times New Roman" w:cs="Times New Roman"/>
          <w:sz w:val="18"/>
          <w:szCs w:val="18"/>
        </w:rPr>
        <w:t>, 76(14):</w:t>
      </w:r>
      <w:r w:rsidR="00C34978" w:rsidRPr="007445FC">
        <w:rPr>
          <w:rFonts w:ascii="Times New Roman" w:hAnsi="Times New Roman" w:cs="Times New Roman"/>
          <w:sz w:val="18"/>
          <w:szCs w:val="18"/>
        </w:rPr>
        <w:t xml:space="preserve"> </w:t>
      </w:r>
      <w:r w:rsidR="00C34978" w:rsidRPr="007445FC">
        <w:rPr>
          <w:rFonts w:ascii="Times New Roman" w:hAnsi="Times New Roman" w:cs="Times New Roman"/>
          <w:sz w:val="18"/>
          <w:szCs w:val="18"/>
        </w:rPr>
        <w:t>2663-2679</w:t>
      </w:r>
      <w:r w:rsidR="00C34978" w:rsidRPr="007445FC">
        <w:rPr>
          <w:rFonts w:ascii="Times New Roman" w:hAnsi="Times New Roman" w:cs="Times New Roman"/>
          <w:sz w:val="18"/>
          <w:szCs w:val="18"/>
        </w:rPr>
        <w:t xml:space="preserve">. </w:t>
      </w:r>
      <w:r w:rsidR="00C34978" w:rsidRPr="007445FC">
        <w:rPr>
          <w:rFonts w:ascii="Times New Roman" w:hAnsi="Times New Roman" w:cs="Times New Roman"/>
          <w:sz w:val="18"/>
          <w:szCs w:val="18"/>
        </w:rPr>
        <w:t>DOI: 10.1007/s00018-019-03097-2</w:t>
      </w:r>
    </w:p>
    <w:sectPr w:rsidR="000F2358" w:rsidRPr="0074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NDIyMLK0MDQ0NzFQ0lEKTi0uzszPAykwqgUAt6V+OCwAAAA="/>
  </w:docVars>
  <w:rsids>
    <w:rsidRoot w:val="000F4190"/>
    <w:rsid w:val="000F2358"/>
    <w:rsid w:val="000F4190"/>
    <w:rsid w:val="00397496"/>
    <w:rsid w:val="00411F26"/>
    <w:rsid w:val="006800B2"/>
    <w:rsid w:val="007445FC"/>
    <w:rsid w:val="00C3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77DF"/>
  <w15:chartTrackingRefBased/>
  <w15:docId w15:val="{A27AE619-5FAC-44D5-82AA-5629A59E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358"/>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radhakrishnan</dc:creator>
  <cp:keywords/>
  <dc:description/>
  <cp:lastModifiedBy>ravi radhakrishnan</cp:lastModifiedBy>
  <cp:revision>5</cp:revision>
  <dcterms:created xsi:type="dcterms:W3CDTF">2019-01-30T08:56:00Z</dcterms:created>
  <dcterms:modified xsi:type="dcterms:W3CDTF">2019-10-11T14:30:00Z</dcterms:modified>
</cp:coreProperties>
</file>