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A5D3B" w14:textId="4BF5AE53" w:rsidR="008323D5" w:rsidRPr="008323D5" w:rsidRDefault="008323D5" w:rsidP="008323D5">
      <w:pPr>
        <w:rPr>
          <w:rFonts w:ascii="-webkit-standard" w:eastAsia="Times New Roman" w:hAnsi="-webkit-standard" w:cs="Times New Roman"/>
          <w:color w:val="000000"/>
        </w:rPr>
      </w:pPr>
    </w:p>
    <w:p w14:paraId="5BF7F03C" w14:textId="2B2D822A" w:rsidR="00E209FD" w:rsidRPr="004C4687" w:rsidRDefault="008323D5" w:rsidP="003A7A3F">
      <w:pPr>
        <w:numPr>
          <w:ilvl w:val="0"/>
          <w:numId w:val="1"/>
        </w:numPr>
        <w:spacing w:line="253" w:lineRule="atLeast"/>
        <w:rPr>
          <w:rFonts w:eastAsia="Times New Roman" w:cs="Times New Roman"/>
          <w:color w:val="000000"/>
          <w:sz w:val="22"/>
          <w:szCs w:val="22"/>
        </w:rPr>
      </w:pPr>
      <w:r>
        <w:rPr>
          <w:rFonts w:eastAsia="Times New Roman" w:cs="Times New Roman"/>
          <w:color w:val="000000"/>
          <w:sz w:val="22"/>
          <w:szCs w:val="22"/>
        </w:rPr>
        <w:t>P</w:t>
      </w:r>
      <w:r w:rsidR="003A7A3F" w:rsidRPr="004C4687">
        <w:rPr>
          <w:rFonts w:eastAsia="Times New Roman" w:cs="Times New Roman"/>
          <w:color w:val="000000"/>
          <w:sz w:val="22"/>
          <w:szCs w:val="22"/>
        </w:rPr>
        <w:t>roject title:</w:t>
      </w:r>
    </w:p>
    <w:p w14:paraId="51C80982" w14:textId="77777777" w:rsidR="00E209FD" w:rsidRPr="004C4687" w:rsidRDefault="00E209FD" w:rsidP="00E209FD">
      <w:pPr>
        <w:spacing w:line="253" w:lineRule="atLeast"/>
        <w:ind w:left="720"/>
        <w:rPr>
          <w:rFonts w:eastAsia="Times New Roman" w:cs="Times New Roman"/>
          <w:color w:val="000000"/>
          <w:sz w:val="22"/>
          <w:szCs w:val="22"/>
        </w:rPr>
      </w:pPr>
    </w:p>
    <w:p w14:paraId="0221A6A8" w14:textId="77777777" w:rsidR="003A7A3F" w:rsidRPr="004C4687" w:rsidRDefault="00E209FD" w:rsidP="00E209FD">
      <w:pPr>
        <w:spacing w:line="253" w:lineRule="atLeast"/>
        <w:ind w:left="720"/>
        <w:rPr>
          <w:rFonts w:eastAsia="Times New Roman" w:cs="Times New Roman"/>
          <w:color w:val="000000"/>
          <w:sz w:val="22"/>
          <w:szCs w:val="22"/>
        </w:rPr>
      </w:pPr>
      <w:r w:rsidRPr="004C4687">
        <w:rPr>
          <w:color w:val="2F5496" w:themeColor="accent1" w:themeShade="BF"/>
          <w:sz w:val="22"/>
          <w:szCs w:val="22"/>
        </w:rPr>
        <w:t>Multiscale Modeling for Treatment Discovery in Duchenne Muscular Dystrophy</w:t>
      </w:r>
    </w:p>
    <w:p w14:paraId="60033A1F" w14:textId="77777777" w:rsidR="003A7A3F" w:rsidRPr="004C4687" w:rsidRDefault="003A7A3F" w:rsidP="003A7A3F">
      <w:pPr>
        <w:spacing w:line="253" w:lineRule="atLeast"/>
        <w:rPr>
          <w:rFonts w:eastAsia="Times New Roman" w:cs="Times New Roman"/>
          <w:color w:val="000000"/>
          <w:sz w:val="22"/>
          <w:szCs w:val="22"/>
        </w:rPr>
      </w:pPr>
    </w:p>
    <w:p w14:paraId="76D98EDA" w14:textId="77777777" w:rsidR="003A7A3F" w:rsidRPr="004C4687" w:rsidRDefault="003A7A3F" w:rsidP="003A7A3F">
      <w:pPr>
        <w:numPr>
          <w:ilvl w:val="0"/>
          <w:numId w:val="1"/>
        </w:numPr>
        <w:spacing w:line="253" w:lineRule="atLeast"/>
        <w:rPr>
          <w:rFonts w:eastAsia="Times New Roman" w:cs="Times New Roman"/>
          <w:color w:val="000000"/>
          <w:sz w:val="22"/>
          <w:szCs w:val="22"/>
        </w:rPr>
      </w:pPr>
      <w:r w:rsidRPr="004C4687">
        <w:rPr>
          <w:rFonts w:eastAsia="Times New Roman" w:cs="Times New Roman"/>
          <w:color w:val="000000"/>
          <w:sz w:val="22"/>
          <w:szCs w:val="22"/>
        </w:rPr>
        <w:t>A one/two sentence summary of the project topic with a hyperlink to more detailed information via the </w:t>
      </w:r>
      <w:hyperlink r:id="rId5" w:history="1">
        <w:r w:rsidRPr="004C4687">
          <w:rPr>
            <w:rFonts w:eastAsia="Times New Roman" w:cs="Times New Roman"/>
            <w:color w:val="954F72"/>
            <w:sz w:val="22"/>
            <w:szCs w:val="22"/>
            <w:u w:val="single"/>
          </w:rPr>
          <w:t>IMAG wiki</w:t>
        </w:r>
      </w:hyperlink>
      <w:r w:rsidRPr="004C4687">
        <w:rPr>
          <w:rFonts w:eastAsia="Times New Roman" w:cs="Times New Roman"/>
          <w:color w:val="000000"/>
          <w:sz w:val="22"/>
          <w:szCs w:val="22"/>
        </w:rPr>
        <w:t>.</w:t>
      </w:r>
    </w:p>
    <w:p w14:paraId="134A3F01" w14:textId="77777777" w:rsidR="00615CD5" w:rsidRPr="004C4687" w:rsidRDefault="00615CD5" w:rsidP="00615CD5">
      <w:pPr>
        <w:spacing w:line="253" w:lineRule="atLeast"/>
        <w:ind w:left="720"/>
        <w:rPr>
          <w:rFonts w:eastAsia="Times New Roman" w:cs="Times New Roman"/>
          <w:color w:val="000000"/>
          <w:sz w:val="22"/>
          <w:szCs w:val="22"/>
        </w:rPr>
      </w:pPr>
    </w:p>
    <w:p w14:paraId="225FBBF1" w14:textId="77777777" w:rsidR="00E209FD" w:rsidRPr="004C4687" w:rsidRDefault="00E209FD" w:rsidP="00615CD5">
      <w:pPr>
        <w:spacing w:line="253" w:lineRule="atLeast"/>
        <w:ind w:left="720"/>
        <w:rPr>
          <w:color w:val="2F5496" w:themeColor="accent1" w:themeShade="BF"/>
          <w:sz w:val="22"/>
          <w:szCs w:val="22"/>
        </w:rPr>
      </w:pPr>
      <w:r w:rsidRPr="004C4687">
        <w:rPr>
          <w:color w:val="2F5496" w:themeColor="accent1" w:themeShade="BF"/>
          <w:sz w:val="22"/>
          <w:szCs w:val="22"/>
        </w:rPr>
        <w:t>The goal of this project is to create multi-scale models that recapitulate disease progression in Duchenne muscular dystrophy and then to use those models to as a platform for treatment discovery.</w:t>
      </w:r>
    </w:p>
    <w:p w14:paraId="4DB9D754" w14:textId="77777777" w:rsidR="00E209FD" w:rsidRPr="004C4687" w:rsidRDefault="00E209FD" w:rsidP="00615CD5">
      <w:pPr>
        <w:spacing w:line="253" w:lineRule="atLeast"/>
        <w:ind w:left="720"/>
        <w:rPr>
          <w:color w:val="2F5496" w:themeColor="accent1" w:themeShade="BF"/>
          <w:sz w:val="22"/>
          <w:szCs w:val="22"/>
        </w:rPr>
      </w:pPr>
    </w:p>
    <w:p w14:paraId="6D8695FE" w14:textId="77777777" w:rsidR="00E209FD" w:rsidRPr="004C4687" w:rsidRDefault="00E209FD" w:rsidP="00615CD5">
      <w:pPr>
        <w:spacing w:line="253" w:lineRule="atLeast"/>
        <w:ind w:left="720"/>
        <w:rPr>
          <w:b/>
          <w:color w:val="2F5496" w:themeColor="accent1" w:themeShade="BF"/>
          <w:sz w:val="22"/>
          <w:szCs w:val="22"/>
          <w:u w:val="single"/>
        </w:rPr>
      </w:pPr>
      <w:r w:rsidRPr="004C4687">
        <w:rPr>
          <w:b/>
          <w:color w:val="2F5496" w:themeColor="accent1" w:themeShade="BF"/>
          <w:sz w:val="22"/>
          <w:szCs w:val="22"/>
          <w:u w:val="single"/>
        </w:rPr>
        <w:t>Detailed information</w:t>
      </w:r>
      <w:r w:rsidR="008F127D" w:rsidRPr="004C4687">
        <w:rPr>
          <w:b/>
          <w:color w:val="2F5496" w:themeColor="accent1" w:themeShade="BF"/>
          <w:sz w:val="22"/>
          <w:szCs w:val="22"/>
          <w:u w:val="single"/>
        </w:rPr>
        <w:t xml:space="preserve"> (Summary from our submitted grant)</w:t>
      </w:r>
      <w:r w:rsidRPr="004C4687">
        <w:rPr>
          <w:b/>
          <w:color w:val="2F5496" w:themeColor="accent1" w:themeShade="BF"/>
          <w:sz w:val="22"/>
          <w:szCs w:val="22"/>
          <w:u w:val="single"/>
        </w:rPr>
        <w:t>:</w:t>
      </w:r>
    </w:p>
    <w:p w14:paraId="5F35215D" w14:textId="77777777" w:rsidR="008F127D" w:rsidRPr="004C4687" w:rsidRDefault="008F127D" w:rsidP="008F127D">
      <w:pPr>
        <w:widowControl w:val="0"/>
        <w:autoSpaceDE w:val="0"/>
        <w:autoSpaceDN w:val="0"/>
        <w:adjustRightInd w:val="0"/>
        <w:ind w:left="720"/>
        <w:jc w:val="both"/>
        <w:rPr>
          <w:color w:val="2F5496" w:themeColor="accent1" w:themeShade="BF"/>
          <w:sz w:val="22"/>
          <w:szCs w:val="22"/>
        </w:rPr>
      </w:pPr>
      <w:r w:rsidRPr="004C4687">
        <w:rPr>
          <w:color w:val="2F5496" w:themeColor="accent1" w:themeShade="BF"/>
          <w:sz w:val="22"/>
          <w:szCs w:val="22"/>
        </w:rPr>
        <w:t xml:space="preserve">Duchene muscular dystrophy (DMD) is an inherited, severe muscle degenerative disease that affects 1 in every 3,500 boys. Pervasive and progressive skeletal muscle atrophy and weakness is generally first observed in patients at 3-5 years of age, leaves patients wheelchair bound by age 12 years, and ultimately leads to death due to respiratory or cardiac failure by the mid 20s. There is no cure for DMD, and </w:t>
      </w:r>
      <w:r w:rsidRPr="004C4687">
        <w:rPr>
          <w:rFonts w:cs="Arial"/>
          <w:color w:val="2F5496" w:themeColor="accent1" w:themeShade="BF"/>
          <w:sz w:val="22"/>
          <w:szCs w:val="22"/>
        </w:rPr>
        <w:t xml:space="preserve">currently, the only FDA approved treatment is corticosteroids, which targets inflammation in muscle degeneration.  However, corticosteroids are merely palliative: they extend the time of mobility and life by only a few years.  Furthermore, corticosteroids have major troublesome side effects, causing boys to gain weight, have early-onset cataracts, and potentially develop significant behavioral issues, all of which make lives of boys and families extremely difficult. </w:t>
      </w:r>
      <w:r w:rsidRPr="004C4687">
        <w:rPr>
          <w:color w:val="2F5496" w:themeColor="accent1" w:themeShade="BF"/>
          <w:sz w:val="22"/>
          <w:szCs w:val="22"/>
        </w:rPr>
        <w:t>The initiating cause of DMD is due to a mutation in the dystrophin</w:t>
      </w:r>
      <w:r w:rsidRPr="004C4687">
        <w:rPr>
          <w:rFonts w:cs="Arial"/>
          <w:color w:val="2F5496" w:themeColor="accent1" w:themeShade="BF"/>
          <w:sz w:val="22"/>
          <w:szCs w:val="22"/>
        </w:rPr>
        <w:t xml:space="preserve"> gene, which renders muscle fibers prone to membrane tearing during </w:t>
      </w:r>
      <w:r w:rsidRPr="004C4687">
        <w:rPr>
          <w:color w:val="2F5496" w:themeColor="accent1" w:themeShade="BF"/>
          <w:sz w:val="22"/>
          <w:szCs w:val="22"/>
        </w:rPr>
        <w:t xml:space="preserve">everyday movements and initiating a cascade of muscle fiber necrosis, chronic inflammation, and ultimately muscle degeneration. This cascade of pathological remodeling events involves multiple different mechanisms that span spatial and temporal scales and pertain to biomechanical signals and inflammation in the muscle tissue. </w:t>
      </w:r>
      <w:r w:rsidRPr="004C4687">
        <w:rPr>
          <w:b/>
          <w:color w:val="2F5496" w:themeColor="accent1" w:themeShade="BF"/>
          <w:sz w:val="22"/>
          <w:szCs w:val="22"/>
        </w:rPr>
        <w:t>We hypothesize that it is the feedback between biomechanical signals and inflammatory signals that ultimately leads to muscle degeneration.</w:t>
      </w:r>
      <w:r w:rsidRPr="004C4687">
        <w:rPr>
          <w:color w:val="2F5496" w:themeColor="accent1" w:themeShade="BF"/>
          <w:sz w:val="22"/>
          <w:szCs w:val="22"/>
        </w:rPr>
        <w:t xml:space="preserve"> We posit that testing this hypothesis requires a multiscale computational model. We propose to couple biomechanical modeling with agent-based modeling to develop and then experimentally validate a unified multiscale computational model (Aim 1). We then propose to use our multiscale model of muscle remodeling to test our hypothesis by challenging the model to predict the response to different treatment interventions and to explore why the most widely used murine model of DMD, the </w:t>
      </w:r>
      <w:r w:rsidRPr="004C4687">
        <w:rPr>
          <w:i/>
          <w:color w:val="2F5496" w:themeColor="accent1" w:themeShade="BF"/>
          <w:sz w:val="22"/>
          <w:szCs w:val="22"/>
        </w:rPr>
        <w:t>mdx</w:t>
      </w:r>
      <w:r w:rsidRPr="004C4687">
        <w:rPr>
          <w:color w:val="2F5496" w:themeColor="accent1" w:themeShade="BF"/>
          <w:sz w:val="22"/>
          <w:szCs w:val="22"/>
        </w:rPr>
        <w:t xml:space="preserve"> mouse, poorly recapitulates human disease (Aim 2). Finally, we propose to make a human version of the multiscale model and use it to simulate different DMD patients in order to test different front-running treatments that have had variable degrees of efficacy and to identify new treatments that are informed by understanding how biomechanics and inflammation feedback on one another to cause this terrible disease (Aim 3).</w:t>
      </w:r>
    </w:p>
    <w:p w14:paraId="144DE2CD" w14:textId="77777777" w:rsidR="008F127D" w:rsidRPr="004C4687" w:rsidRDefault="008F127D" w:rsidP="00615CD5">
      <w:pPr>
        <w:spacing w:line="253" w:lineRule="atLeast"/>
        <w:ind w:left="720"/>
        <w:rPr>
          <w:color w:val="2F5496" w:themeColor="accent1" w:themeShade="BF"/>
          <w:sz w:val="22"/>
          <w:szCs w:val="22"/>
        </w:rPr>
      </w:pPr>
    </w:p>
    <w:p w14:paraId="0B02892D" w14:textId="77777777" w:rsidR="00E209FD" w:rsidRPr="004C4687" w:rsidRDefault="00E209FD" w:rsidP="00615CD5">
      <w:pPr>
        <w:spacing w:line="253" w:lineRule="atLeast"/>
        <w:ind w:left="720"/>
        <w:rPr>
          <w:rFonts w:eastAsia="Times New Roman" w:cs="Times New Roman"/>
          <w:color w:val="000000"/>
          <w:sz w:val="22"/>
          <w:szCs w:val="22"/>
        </w:rPr>
      </w:pPr>
    </w:p>
    <w:p w14:paraId="7B552763" w14:textId="77777777" w:rsidR="003A7A3F" w:rsidRPr="004C4687" w:rsidRDefault="003A7A3F" w:rsidP="003A7A3F">
      <w:pPr>
        <w:numPr>
          <w:ilvl w:val="0"/>
          <w:numId w:val="1"/>
        </w:numPr>
        <w:spacing w:line="253" w:lineRule="atLeast"/>
        <w:rPr>
          <w:rFonts w:eastAsia="Times New Roman" w:cs="Times New Roman"/>
          <w:color w:val="000000"/>
          <w:sz w:val="22"/>
          <w:szCs w:val="22"/>
        </w:rPr>
      </w:pPr>
      <w:r w:rsidRPr="004C4687">
        <w:rPr>
          <w:rFonts w:eastAsia="Times New Roman" w:cs="Times New Roman"/>
          <w:color w:val="000000"/>
          <w:sz w:val="22"/>
          <w:szCs w:val="22"/>
        </w:rPr>
        <w:t>Details regarding Model Credibility plan following the </w:t>
      </w:r>
      <w:hyperlink r:id="rId6" w:history="1">
        <w:r w:rsidRPr="004C4687">
          <w:rPr>
            <w:rFonts w:eastAsia="Times New Roman" w:cs="Times New Roman"/>
            <w:color w:val="954F72"/>
            <w:sz w:val="22"/>
            <w:szCs w:val="22"/>
            <w:u w:val="single"/>
          </w:rPr>
          <w:t>CPMS Ten Simple Rules (TSR)</w:t>
        </w:r>
      </w:hyperlink>
      <w:r w:rsidRPr="004C4687">
        <w:rPr>
          <w:rFonts w:eastAsia="Times New Roman" w:cs="Times New Roman"/>
          <w:color w:val="000000"/>
          <w:sz w:val="22"/>
          <w:szCs w:val="22"/>
        </w:rPr>
        <w:t> format.  It is requested that these details be presented as deemed appropriate for each modeling approach.  This will be used to help define best practices for future reporting activities. These details should include:</w:t>
      </w:r>
    </w:p>
    <w:p w14:paraId="0CD4E8F8" w14:textId="77777777" w:rsidR="003A7A3F" w:rsidRPr="004C4687" w:rsidRDefault="003A7A3F" w:rsidP="003A7A3F">
      <w:pPr>
        <w:numPr>
          <w:ilvl w:val="1"/>
          <w:numId w:val="2"/>
        </w:numPr>
        <w:spacing w:line="253" w:lineRule="atLeast"/>
        <w:rPr>
          <w:rFonts w:eastAsia="Times New Roman" w:cs="Times New Roman"/>
          <w:color w:val="000000"/>
          <w:sz w:val="22"/>
          <w:szCs w:val="22"/>
        </w:rPr>
      </w:pPr>
      <w:r w:rsidRPr="004C4687">
        <w:rPr>
          <w:rFonts w:eastAsia="Times New Roman" w:cs="Times New Roman"/>
          <w:color w:val="000000"/>
          <w:sz w:val="22"/>
          <w:szCs w:val="22"/>
        </w:rPr>
        <w:t>List of planned actions outlined in Model Credibility plan</w:t>
      </w:r>
    </w:p>
    <w:p w14:paraId="7EC9BF4F" w14:textId="77777777" w:rsidR="00ED175D" w:rsidRPr="004C4687" w:rsidRDefault="00ED175D" w:rsidP="00ED175D">
      <w:pPr>
        <w:spacing w:line="253" w:lineRule="atLeast"/>
        <w:ind w:left="1440"/>
        <w:rPr>
          <w:rFonts w:eastAsia="Times New Roman" w:cs="Times New Roman"/>
          <w:color w:val="000000"/>
          <w:sz w:val="22"/>
          <w:szCs w:val="22"/>
        </w:rPr>
      </w:pPr>
    </w:p>
    <w:p w14:paraId="30D96B0F" w14:textId="77777777" w:rsidR="00ED175D" w:rsidRPr="00CB6502" w:rsidRDefault="00ED175D" w:rsidP="00ED175D">
      <w:pPr>
        <w:rPr>
          <w:rFonts w:cs="Times New Roman"/>
          <w:color w:val="2F5496" w:themeColor="accent1" w:themeShade="BF"/>
          <w:sz w:val="22"/>
          <w:szCs w:val="22"/>
        </w:rPr>
      </w:pPr>
      <w:r w:rsidRPr="00CB6502">
        <w:rPr>
          <w:rFonts w:cs="Arial"/>
          <w:color w:val="2F5496" w:themeColor="accent1" w:themeShade="BF"/>
          <w:sz w:val="22"/>
          <w:szCs w:val="22"/>
        </w:rPr>
        <w:t>§Part 1. Download and run each other’s models [Rule 1 (define context), Rule 6 (document)]</w:t>
      </w:r>
    </w:p>
    <w:p w14:paraId="6CD7C11D" w14:textId="77777777" w:rsidR="00ED175D" w:rsidRPr="00CB6502" w:rsidRDefault="00ED175D" w:rsidP="00ED175D">
      <w:pPr>
        <w:rPr>
          <w:rFonts w:eastAsia="Times New Roman" w:cs="Times New Roman"/>
          <w:color w:val="2F5496" w:themeColor="accent1" w:themeShade="BF"/>
          <w:sz w:val="22"/>
          <w:szCs w:val="22"/>
        </w:rPr>
      </w:pPr>
    </w:p>
    <w:p w14:paraId="2C185479" w14:textId="77777777" w:rsidR="00ED175D" w:rsidRPr="00CB6502" w:rsidRDefault="00ED175D" w:rsidP="00ED175D">
      <w:pPr>
        <w:rPr>
          <w:rFonts w:cs="Times New Roman"/>
          <w:color w:val="2F5496" w:themeColor="accent1" w:themeShade="BF"/>
          <w:sz w:val="22"/>
          <w:szCs w:val="22"/>
        </w:rPr>
      </w:pPr>
      <w:r w:rsidRPr="00CB6502">
        <w:rPr>
          <w:rFonts w:cs="Arial"/>
          <w:color w:val="2F5496" w:themeColor="accent1" w:themeShade="BF"/>
          <w:sz w:val="22"/>
          <w:szCs w:val="22"/>
        </w:rPr>
        <w:t>§Part 2. Cross-evaluate model design and implementation with a focus on the use of experimental data in model specification and validation [Rule 1 (define context), Rule 2 (use of data), Rule 3 (evaluate within context), Rule 4 (limitations)]</w:t>
      </w:r>
    </w:p>
    <w:p w14:paraId="6B558027" w14:textId="77777777" w:rsidR="00ED175D" w:rsidRPr="00CB6502" w:rsidRDefault="00ED175D" w:rsidP="00ED175D">
      <w:pPr>
        <w:rPr>
          <w:rFonts w:eastAsia="Times New Roman" w:cs="Times New Roman"/>
          <w:color w:val="2F5496" w:themeColor="accent1" w:themeShade="BF"/>
          <w:sz w:val="22"/>
          <w:szCs w:val="22"/>
        </w:rPr>
      </w:pPr>
    </w:p>
    <w:p w14:paraId="4A22415E" w14:textId="77777777" w:rsidR="00ED175D" w:rsidRPr="00CB6502" w:rsidRDefault="00ED175D" w:rsidP="00ED175D">
      <w:pPr>
        <w:rPr>
          <w:rFonts w:cs="Times New Roman"/>
          <w:color w:val="2F5496" w:themeColor="accent1" w:themeShade="BF"/>
          <w:sz w:val="22"/>
          <w:szCs w:val="22"/>
        </w:rPr>
      </w:pPr>
      <w:r w:rsidRPr="00CB6502">
        <w:rPr>
          <w:rFonts w:cs="Arial"/>
          <w:color w:val="2F5496" w:themeColor="accent1" w:themeShade="BF"/>
          <w:sz w:val="22"/>
          <w:szCs w:val="22"/>
        </w:rPr>
        <w:t>§Part 3. Version control best practices sharing [Rule 5 (version control), Rule 6 (document), Rule 9 (competing implementations)]</w:t>
      </w:r>
    </w:p>
    <w:p w14:paraId="73ABFF34" w14:textId="77777777" w:rsidR="00ED175D" w:rsidRPr="00CB6502" w:rsidRDefault="00ED175D" w:rsidP="00ED175D">
      <w:pPr>
        <w:rPr>
          <w:rFonts w:eastAsia="Times New Roman" w:cs="Times New Roman"/>
          <w:color w:val="2F5496" w:themeColor="accent1" w:themeShade="BF"/>
          <w:sz w:val="22"/>
          <w:szCs w:val="22"/>
        </w:rPr>
      </w:pPr>
    </w:p>
    <w:p w14:paraId="15002CA0" w14:textId="073A90D5" w:rsidR="00ED175D" w:rsidRPr="00197BA4" w:rsidRDefault="00ED175D" w:rsidP="00ED175D">
      <w:pPr>
        <w:rPr>
          <w:rFonts w:cs="Times New Roman"/>
          <w:color w:val="2F5496" w:themeColor="accent1" w:themeShade="BF"/>
          <w:sz w:val="22"/>
          <w:szCs w:val="22"/>
        </w:rPr>
      </w:pPr>
      <w:r w:rsidRPr="00CB6502">
        <w:rPr>
          <w:rFonts w:cs="Arial"/>
          <w:color w:val="2F5496" w:themeColor="accent1" w:themeShade="BF"/>
          <w:sz w:val="22"/>
          <w:szCs w:val="22"/>
        </w:rPr>
        <w:t>§Part 4. Publication strategy [Rule 7 (disseminate broadly), Rule 8 (independent reviews), Rule 10 (conform to standards)]</w:t>
      </w:r>
    </w:p>
    <w:p w14:paraId="5C4D18E6" w14:textId="77777777" w:rsidR="00ED175D" w:rsidRPr="00CB6502" w:rsidRDefault="00ED175D" w:rsidP="00ED175D">
      <w:pPr>
        <w:rPr>
          <w:rFonts w:eastAsia="Times New Roman" w:cs="Times New Roman"/>
          <w:color w:val="2F5496" w:themeColor="accent1" w:themeShade="BF"/>
          <w:sz w:val="22"/>
          <w:szCs w:val="22"/>
        </w:rPr>
      </w:pPr>
    </w:p>
    <w:p w14:paraId="14C113D0" w14:textId="77777777" w:rsidR="00ED175D" w:rsidRPr="00CB6502" w:rsidRDefault="00ED175D" w:rsidP="00ED175D">
      <w:pPr>
        <w:rPr>
          <w:rFonts w:cs="Times New Roman"/>
          <w:color w:val="2F5496" w:themeColor="accent1" w:themeShade="BF"/>
          <w:sz w:val="22"/>
          <w:szCs w:val="22"/>
        </w:rPr>
      </w:pPr>
      <w:r w:rsidRPr="00CB6502">
        <w:rPr>
          <w:rFonts w:cs="Arial"/>
          <w:color w:val="2F5496" w:themeColor="accent1" w:themeShade="BF"/>
          <w:sz w:val="22"/>
          <w:szCs w:val="22"/>
        </w:rPr>
        <w:t>§Part 5. Journal the experience!</w:t>
      </w:r>
    </w:p>
    <w:p w14:paraId="4E21C763" w14:textId="77777777" w:rsidR="00ED175D" w:rsidRPr="00CB6502" w:rsidRDefault="00ED175D" w:rsidP="00ED175D">
      <w:pPr>
        <w:rPr>
          <w:rFonts w:eastAsia="Times New Roman" w:cs="Times New Roman"/>
          <w:color w:val="2F5496" w:themeColor="accent1" w:themeShade="BF"/>
          <w:sz w:val="22"/>
          <w:szCs w:val="22"/>
        </w:rPr>
      </w:pPr>
    </w:p>
    <w:p w14:paraId="1CBD4418" w14:textId="77777777" w:rsidR="00ED175D" w:rsidRPr="004C4687" w:rsidRDefault="00ED175D" w:rsidP="00ED175D">
      <w:pPr>
        <w:spacing w:line="253" w:lineRule="atLeast"/>
        <w:ind w:left="1440"/>
        <w:rPr>
          <w:rFonts w:eastAsia="Times New Roman" w:cs="Times New Roman"/>
          <w:color w:val="000000"/>
          <w:sz w:val="22"/>
          <w:szCs w:val="22"/>
        </w:rPr>
      </w:pPr>
    </w:p>
    <w:p w14:paraId="5EFA2A10" w14:textId="77777777" w:rsidR="003A7A3F" w:rsidRPr="004C4687" w:rsidRDefault="003A7A3F" w:rsidP="003A7A3F">
      <w:pPr>
        <w:numPr>
          <w:ilvl w:val="1"/>
          <w:numId w:val="2"/>
        </w:numPr>
        <w:spacing w:line="253" w:lineRule="atLeast"/>
        <w:rPr>
          <w:rFonts w:eastAsia="Times New Roman" w:cs="Times New Roman"/>
          <w:color w:val="000000"/>
          <w:sz w:val="22"/>
          <w:szCs w:val="22"/>
        </w:rPr>
      </w:pPr>
      <w:r w:rsidRPr="004C4687">
        <w:rPr>
          <w:rFonts w:eastAsia="Times New Roman" w:cs="Times New Roman"/>
          <w:color w:val="000000"/>
          <w:sz w:val="22"/>
          <w:szCs w:val="22"/>
        </w:rPr>
        <w:t>Brief description of information gained by each credibility action</w:t>
      </w:r>
    </w:p>
    <w:p w14:paraId="51F7DEC2" w14:textId="77777777" w:rsidR="00ED175D" w:rsidRPr="004C4687" w:rsidRDefault="00ED175D" w:rsidP="00ED175D">
      <w:pPr>
        <w:spacing w:line="253" w:lineRule="atLeast"/>
        <w:ind w:left="1440"/>
        <w:rPr>
          <w:rFonts w:eastAsia="Times New Roman" w:cs="Times New Roman"/>
          <w:color w:val="000000"/>
          <w:sz w:val="22"/>
          <w:szCs w:val="22"/>
        </w:rPr>
      </w:pPr>
    </w:p>
    <w:p w14:paraId="03E99071" w14:textId="65FEEC47" w:rsidR="00800FAE" w:rsidRDefault="00800FAE" w:rsidP="00800FAE">
      <w:pPr>
        <w:rPr>
          <w:rFonts w:cs="Arial"/>
          <w:color w:val="2F5496" w:themeColor="accent1" w:themeShade="BF"/>
          <w:sz w:val="22"/>
          <w:szCs w:val="22"/>
        </w:rPr>
      </w:pPr>
      <w:r w:rsidRPr="00CB6502">
        <w:rPr>
          <w:rFonts w:cs="Arial"/>
          <w:color w:val="2F5496" w:themeColor="accent1" w:themeShade="BF"/>
          <w:sz w:val="22"/>
          <w:szCs w:val="22"/>
        </w:rPr>
        <w:t xml:space="preserve">§Part 1. </w:t>
      </w:r>
      <w:r w:rsidR="00670F26">
        <w:rPr>
          <w:rFonts w:cs="Arial"/>
          <w:color w:val="2F5496" w:themeColor="accent1" w:themeShade="BF"/>
          <w:sz w:val="22"/>
          <w:szCs w:val="22"/>
        </w:rPr>
        <w:t xml:space="preserve">By running each other’s models and providing feedback about this experience, we are helping each other improve how we are documenting </w:t>
      </w:r>
      <w:r w:rsidR="00A761C7">
        <w:rPr>
          <w:rFonts w:cs="Arial"/>
          <w:color w:val="2F5496" w:themeColor="accent1" w:themeShade="BF"/>
          <w:sz w:val="22"/>
          <w:szCs w:val="22"/>
        </w:rPr>
        <w:t xml:space="preserve">and sharing </w:t>
      </w:r>
      <w:r w:rsidR="00670F26">
        <w:rPr>
          <w:rFonts w:cs="Arial"/>
          <w:color w:val="2F5496" w:themeColor="accent1" w:themeShade="BF"/>
          <w:sz w:val="22"/>
          <w:szCs w:val="22"/>
        </w:rPr>
        <w:t xml:space="preserve">our models. Specifically, we are focusing on the user experience and identifying bottlenecks or points of possible confusion and making recommendations for how these issues can be enhanced or resolved. </w:t>
      </w:r>
    </w:p>
    <w:p w14:paraId="75C19301" w14:textId="77777777" w:rsidR="00E33905" w:rsidRPr="00CB6502" w:rsidRDefault="00E33905" w:rsidP="00800FAE">
      <w:pPr>
        <w:rPr>
          <w:rFonts w:cs="Times New Roman"/>
          <w:color w:val="2F5496" w:themeColor="accent1" w:themeShade="BF"/>
          <w:sz w:val="22"/>
          <w:szCs w:val="22"/>
        </w:rPr>
      </w:pPr>
    </w:p>
    <w:p w14:paraId="4512A8A6" w14:textId="46889022" w:rsidR="00E33905" w:rsidRPr="00CB6502" w:rsidRDefault="00E33905" w:rsidP="00E33905">
      <w:pPr>
        <w:rPr>
          <w:rFonts w:cs="Times New Roman"/>
          <w:color w:val="2F5496" w:themeColor="accent1" w:themeShade="BF"/>
          <w:sz w:val="22"/>
          <w:szCs w:val="22"/>
        </w:rPr>
      </w:pPr>
      <w:r w:rsidRPr="00CB6502">
        <w:rPr>
          <w:rFonts w:cs="Arial"/>
          <w:color w:val="2F5496" w:themeColor="accent1" w:themeShade="BF"/>
          <w:sz w:val="22"/>
          <w:szCs w:val="22"/>
        </w:rPr>
        <w:t xml:space="preserve">§Part 2. </w:t>
      </w:r>
      <w:r w:rsidR="00A761C7">
        <w:rPr>
          <w:rFonts w:cs="Arial"/>
          <w:color w:val="2F5496" w:themeColor="accent1" w:themeShade="BF"/>
          <w:sz w:val="22"/>
          <w:szCs w:val="22"/>
        </w:rPr>
        <w:t>B</w:t>
      </w:r>
      <w:r w:rsidR="00F03E25">
        <w:rPr>
          <w:rFonts w:cs="Arial"/>
          <w:color w:val="2F5496" w:themeColor="accent1" w:themeShade="BF"/>
          <w:sz w:val="22"/>
          <w:szCs w:val="22"/>
        </w:rPr>
        <w:t>y discussing how experimental data is used for model specification</w:t>
      </w:r>
      <w:r w:rsidR="00A761C7">
        <w:rPr>
          <w:rFonts w:cs="Arial"/>
          <w:color w:val="2F5496" w:themeColor="accent1" w:themeShade="BF"/>
          <w:sz w:val="22"/>
          <w:szCs w:val="22"/>
        </w:rPr>
        <w:t xml:space="preserve"> and validation</w:t>
      </w:r>
      <w:r w:rsidR="009C7224">
        <w:rPr>
          <w:rFonts w:cs="Arial"/>
          <w:color w:val="2F5496" w:themeColor="accent1" w:themeShade="BF"/>
          <w:sz w:val="22"/>
          <w:szCs w:val="22"/>
        </w:rPr>
        <w:t xml:space="preserve"> by each of our groups</w:t>
      </w:r>
      <w:r w:rsidR="00A761C7">
        <w:rPr>
          <w:rFonts w:cs="Arial"/>
          <w:color w:val="2F5496" w:themeColor="accent1" w:themeShade="BF"/>
          <w:sz w:val="22"/>
          <w:szCs w:val="22"/>
        </w:rPr>
        <w:t xml:space="preserve">, we are enabling ourselves to re-consider fundamental assumptions of our </w:t>
      </w:r>
      <w:r w:rsidR="000E0769">
        <w:rPr>
          <w:rFonts w:cs="Arial"/>
          <w:color w:val="2F5496" w:themeColor="accent1" w:themeShade="BF"/>
          <w:sz w:val="22"/>
          <w:szCs w:val="22"/>
        </w:rPr>
        <w:t xml:space="preserve">own </w:t>
      </w:r>
      <w:r w:rsidR="00A761C7">
        <w:rPr>
          <w:rFonts w:cs="Arial"/>
          <w:color w:val="2F5496" w:themeColor="accent1" w:themeShade="BF"/>
          <w:sz w:val="22"/>
          <w:szCs w:val="22"/>
        </w:rPr>
        <w:t>model</w:t>
      </w:r>
      <w:r w:rsidR="000E0769">
        <w:rPr>
          <w:rFonts w:cs="Arial"/>
          <w:color w:val="2F5496" w:themeColor="accent1" w:themeShade="BF"/>
          <w:sz w:val="22"/>
          <w:szCs w:val="22"/>
        </w:rPr>
        <w:t>s</w:t>
      </w:r>
      <w:r w:rsidR="00A761C7">
        <w:rPr>
          <w:rFonts w:cs="Arial"/>
          <w:color w:val="2F5496" w:themeColor="accent1" w:themeShade="BF"/>
          <w:sz w:val="22"/>
          <w:szCs w:val="22"/>
        </w:rPr>
        <w:t xml:space="preserve">. </w:t>
      </w:r>
      <w:r w:rsidR="0048372E">
        <w:rPr>
          <w:rFonts w:cs="Arial"/>
          <w:color w:val="2F5496" w:themeColor="accent1" w:themeShade="BF"/>
          <w:sz w:val="22"/>
          <w:szCs w:val="22"/>
        </w:rPr>
        <w:t>For example, our conversations are calling into question how we develop and compare</w:t>
      </w:r>
      <w:r w:rsidR="00A761C7">
        <w:rPr>
          <w:rFonts w:cs="Arial"/>
          <w:color w:val="2F5496" w:themeColor="accent1" w:themeShade="BF"/>
          <w:sz w:val="22"/>
          <w:szCs w:val="22"/>
        </w:rPr>
        <w:t xml:space="preserve"> 2D and 3D </w:t>
      </w:r>
      <w:r w:rsidR="0048372E">
        <w:rPr>
          <w:rFonts w:cs="Arial"/>
          <w:color w:val="2F5496" w:themeColor="accent1" w:themeShade="BF"/>
          <w:sz w:val="22"/>
          <w:szCs w:val="22"/>
        </w:rPr>
        <w:t>model s</w:t>
      </w:r>
      <w:r w:rsidR="002C12E5">
        <w:rPr>
          <w:rFonts w:cs="Arial"/>
          <w:color w:val="2F5496" w:themeColor="accent1" w:themeShade="BF"/>
          <w:sz w:val="22"/>
          <w:szCs w:val="22"/>
        </w:rPr>
        <w:t xml:space="preserve">imulations </w:t>
      </w:r>
      <w:r w:rsidR="000E0769">
        <w:rPr>
          <w:rFonts w:cs="Arial"/>
          <w:color w:val="2F5496" w:themeColor="accent1" w:themeShade="BF"/>
          <w:sz w:val="22"/>
          <w:szCs w:val="22"/>
        </w:rPr>
        <w:t>given the available</w:t>
      </w:r>
      <w:r w:rsidR="00A13571">
        <w:rPr>
          <w:rFonts w:cs="Arial"/>
          <w:color w:val="2F5496" w:themeColor="accent1" w:themeShade="BF"/>
          <w:sz w:val="22"/>
          <w:szCs w:val="22"/>
        </w:rPr>
        <w:t xml:space="preserve"> 2D vs. 3D </w:t>
      </w:r>
      <w:r w:rsidR="002C12E5">
        <w:rPr>
          <w:rFonts w:cs="Arial"/>
          <w:color w:val="2F5496" w:themeColor="accent1" w:themeShade="BF"/>
          <w:sz w:val="22"/>
          <w:szCs w:val="22"/>
        </w:rPr>
        <w:t>experimental data</w:t>
      </w:r>
      <w:r w:rsidR="0048372E">
        <w:rPr>
          <w:rFonts w:cs="Arial"/>
          <w:color w:val="2F5496" w:themeColor="accent1" w:themeShade="BF"/>
          <w:sz w:val="22"/>
          <w:szCs w:val="22"/>
        </w:rPr>
        <w:t xml:space="preserve">. </w:t>
      </w:r>
      <w:r w:rsidR="000E0769">
        <w:rPr>
          <w:rFonts w:cs="Arial"/>
          <w:color w:val="2F5496" w:themeColor="accent1" w:themeShade="BF"/>
          <w:sz w:val="22"/>
          <w:szCs w:val="22"/>
        </w:rPr>
        <w:t xml:space="preserve">An interesting aspect of this conversation is the recognition that the </w:t>
      </w:r>
      <w:r w:rsidR="008323D5">
        <w:rPr>
          <w:rFonts w:cs="Arial"/>
          <w:color w:val="2F5496" w:themeColor="accent1" w:themeShade="BF"/>
          <w:sz w:val="22"/>
          <w:szCs w:val="22"/>
        </w:rPr>
        <w:t>Kirschner</w:t>
      </w:r>
      <w:r w:rsidR="000E0769">
        <w:rPr>
          <w:rFonts w:cs="Arial"/>
          <w:color w:val="2F5496" w:themeColor="accent1" w:themeShade="BF"/>
          <w:sz w:val="22"/>
          <w:szCs w:val="22"/>
        </w:rPr>
        <w:t>/Linderman lab deals with primarily spheroidal shapes</w:t>
      </w:r>
      <w:r w:rsidR="00422FB7">
        <w:rPr>
          <w:rFonts w:cs="Arial"/>
          <w:color w:val="2F5496" w:themeColor="accent1" w:themeShade="BF"/>
          <w:sz w:val="22"/>
          <w:szCs w:val="22"/>
        </w:rPr>
        <w:t xml:space="preserve"> (granulomas)</w:t>
      </w:r>
      <w:r w:rsidR="000E0769">
        <w:rPr>
          <w:rFonts w:cs="Arial"/>
          <w:color w:val="2F5496" w:themeColor="accent1" w:themeShade="BF"/>
          <w:sz w:val="22"/>
          <w:szCs w:val="22"/>
        </w:rPr>
        <w:t>, while the Blemker/Peirce-Cottler lab deals primarily with cylindrical shapes</w:t>
      </w:r>
      <w:r w:rsidR="00422FB7">
        <w:rPr>
          <w:rFonts w:cs="Arial"/>
          <w:color w:val="2F5496" w:themeColor="accent1" w:themeShade="BF"/>
          <w:sz w:val="22"/>
          <w:szCs w:val="22"/>
        </w:rPr>
        <w:t xml:space="preserve"> (muscle fibers)</w:t>
      </w:r>
      <w:r w:rsidR="000E0769">
        <w:rPr>
          <w:rFonts w:cs="Arial"/>
          <w:color w:val="2F5496" w:themeColor="accent1" w:themeShade="BF"/>
          <w:sz w:val="22"/>
          <w:szCs w:val="22"/>
        </w:rPr>
        <w:t xml:space="preserve">. </w:t>
      </w:r>
      <w:r w:rsidR="00422FB7">
        <w:rPr>
          <w:rFonts w:cs="Arial"/>
          <w:color w:val="2F5496" w:themeColor="accent1" w:themeShade="BF"/>
          <w:sz w:val="22"/>
          <w:szCs w:val="22"/>
        </w:rPr>
        <w:t>Two-dimensional approximations of these tissues both take the form of circles, whereas the 3D representations are quite</w:t>
      </w:r>
      <w:bookmarkStart w:id="0" w:name="_GoBack"/>
      <w:bookmarkEnd w:id="0"/>
      <w:r w:rsidR="00422FB7">
        <w:rPr>
          <w:rFonts w:cs="Arial"/>
          <w:color w:val="2F5496" w:themeColor="accent1" w:themeShade="BF"/>
          <w:sz w:val="22"/>
          <w:szCs w:val="22"/>
        </w:rPr>
        <w:t xml:space="preserve"> different. </w:t>
      </w:r>
    </w:p>
    <w:p w14:paraId="77DCD074" w14:textId="77777777" w:rsidR="00E33905" w:rsidRPr="00CB6502" w:rsidRDefault="00E33905" w:rsidP="00E33905">
      <w:pPr>
        <w:rPr>
          <w:rFonts w:eastAsia="Times New Roman" w:cs="Times New Roman"/>
          <w:color w:val="2F5496" w:themeColor="accent1" w:themeShade="BF"/>
          <w:sz w:val="22"/>
          <w:szCs w:val="22"/>
        </w:rPr>
      </w:pPr>
    </w:p>
    <w:p w14:paraId="6D35DE69" w14:textId="7664D2EA" w:rsidR="00E33905" w:rsidRPr="00CB6502" w:rsidRDefault="00E33905" w:rsidP="00E33905">
      <w:pPr>
        <w:rPr>
          <w:rFonts w:cs="Times New Roman"/>
          <w:color w:val="2F5496" w:themeColor="accent1" w:themeShade="BF"/>
          <w:sz w:val="22"/>
          <w:szCs w:val="22"/>
        </w:rPr>
      </w:pPr>
      <w:r w:rsidRPr="00CB6502">
        <w:rPr>
          <w:rFonts w:cs="Arial"/>
          <w:color w:val="2F5496" w:themeColor="accent1" w:themeShade="BF"/>
          <w:sz w:val="22"/>
          <w:szCs w:val="22"/>
        </w:rPr>
        <w:t xml:space="preserve">§Part 3. </w:t>
      </w:r>
      <w:r w:rsidR="00E74B39">
        <w:rPr>
          <w:rFonts w:cs="Arial"/>
          <w:color w:val="2F5496" w:themeColor="accent1" w:themeShade="BF"/>
          <w:sz w:val="22"/>
          <w:szCs w:val="22"/>
        </w:rPr>
        <w:t xml:space="preserve">By sharing our best practices for version control with one another, we have </w:t>
      </w:r>
      <w:r w:rsidR="00D55E6E">
        <w:rPr>
          <w:rFonts w:cs="Arial"/>
          <w:color w:val="2F5496" w:themeColor="accent1" w:themeShade="BF"/>
          <w:sz w:val="22"/>
          <w:szCs w:val="22"/>
        </w:rPr>
        <w:t>validated</w:t>
      </w:r>
      <w:r w:rsidR="00174CCC">
        <w:rPr>
          <w:rFonts w:cs="Arial"/>
          <w:color w:val="2F5496" w:themeColor="accent1" w:themeShade="BF"/>
          <w:sz w:val="22"/>
          <w:szCs w:val="22"/>
        </w:rPr>
        <w:t xml:space="preserve"> our own approaches and reinforced the adherence to these strategies with the modelers and trainees in our own laboratories. </w:t>
      </w:r>
      <w:r w:rsidR="00DA7B3F">
        <w:rPr>
          <w:rFonts w:cs="Arial"/>
          <w:color w:val="2F5496" w:themeColor="accent1" w:themeShade="BF"/>
          <w:sz w:val="22"/>
          <w:szCs w:val="22"/>
        </w:rPr>
        <w:t>We also hope to gain input from other modelers in the MSM community by posting this document on the IMAG Wiki.</w:t>
      </w:r>
    </w:p>
    <w:p w14:paraId="13C937AF" w14:textId="77777777" w:rsidR="00E74B39" w:rsidRPr="00CB6502" w:rsidRDefault="00E74B39" w:rsidP="00E33905">
      <w:pPr>
        <w:rPr>
          <w:rFonts w:eastAsia="Times New Roman" w:cs="Times New Roman"/>
          <w:color w:val="2F5496" w:themeColor="accent1" w:themeShade="BF"/>
          <w:sz w:val="22"/>
          <w:szCs w:val="22"/>
        </w:rPr>
      </w:pPr>
    </w:p>
    <w:p w14:paraId="5B9BA4FF" w14:textId="3F332379" w:rsidR="00E33905" w:rsidRPr="00197BA4" w:rsidRDefault="00E33905" w:rsidP="00E33905">
      <w:pPr>
        <w:rPr>
          <w:rFonts w:cs="Times New Roman"/>
          <w:color w:val="2F5496" w:themeColor="accent1" w:themeShade="BF"/>
          <w:sz w:val="22"/>
          <w:szCs w:val="22"/>
        </w:rPr>
      </w:pPr>
      <w:r w:rsidRPr="00CB6502">
        <w:rPr>
          <w:rFonts w:cs="Arial"/>
          <w:color w:val="2F5496" w:themeColor="accent1" w:themeShade="BF"/>
          <w:sz w:val="22"/>
          <w:szCs w:val="22"/>
        </w:rPr>
        <w:t xml:space="preserve">§Part 4. </w:t>
      </w:r>
      <w:r w:rsidR="00401229">
        <w:rPr>
          <w:rFonts w:cs="Arial"/>
          <w:color w:val="2F5496" w:themeColor="accent1" w:themeShade="BF"/>
          <w:sz w:val="22"/>
          <w:szCs w:val="22"/>
        </w:rPr>
        <w:t xml:space="preserve">By sharing near final versions of manuscripts that we are within range of submitting to peer reviewed </w:t>
      </w:r>
      <w:r w:rsidR="00670180">
        <w:rPr>
          <w:rFonts w:cs="Arial"/>
          <w:color w:val="2F5496" w:themeColor="accent1" w:themeShade="BF"/>
          <w:sz w:val="22"/>
          <w:szCs w:val="22"/>
        </w:rPr>
        <w:t xml:space="preserve">journals, we are enabling the other group to provide input on how </w:t>
      </w:r>
      <w:r w:rsidR="00315732">
        <w:rPr>
          <w:rFonts w:cs="Arial"/>
          <w:color w:val="2F5496" w:themeColor="accent1" w:themeShade="BF"/>
          <w:sz w:val="22"/>
          <w:szCs w:val="22"/>
        </w:rPr>
        <w:t xml:space="preserve">well </w:t>
      </w:r>
      <w:r w:rsidR="00670180">
        <w:rPr>
          <w:rFonts w:cs="Arial"/>
          <w:color w:val="2F5496" w:themeColor="accent1" w:themeShade="BF"/>
          <w:sz w:val="22"/>
          <w:szCs w:val="22"/>
        </w:rPr>
        <w:t>the model</w:t>
      </w:r>
      <w:r w:rsidR="00315732">
        <w:rPr>
          <w:rFonts w:cs="Arial"/>
          <w:color w:val="2F5496" w:themeColor="accent1" w:themeShade="BF"/>
          <w:sz w:val="22"/>
          <w:szCs w:val="22"/>
        </w:rPr>
        <w:t>s</w:t>
      </w:r>
      <w:r w:rsidR="00670180">
        <w:rPr>
          <w:rFonts w:cs="Arial"/>
          <w:color w:val="2F5496" w:themeColor="accent1" w:themeShade="BF"/>
          <w:sz w:val="22"/>
          <w:szCs w:val="22"/>
        </w:rPr>
        <w:t xml:space="preserve"> </w:t>
      </w:r>
      <w:r w:rsidR="00315732">
        <w:rPr>
          <w:rFonts w:cs="Arial"/>
          <w:color w:val="2F5496" w:themeColor="accent1" w:themeShade="BF"/>
          <w:sz w:val="22"/>
          <w:szCs w:val="22"/>
        </w:rPr>
        <w:t>are</w:t>
      </w:r>
      <w:r w:rsidR="00670180">
        <w:rPr>
          <w:rFonts w:cs="Arial"/>
          <w:color w:val="2F5496" w:themeColor="accent1" w:themeShade="BF"/>
          <w:sz w:val="22"/>
          <w:szCs w:val="22"/>
        </w:rPr>
        <w:t xml:space="preserve"> described</w:t>
      </w:r>
      <w:r w:rsidR="00315732">
        <w:rPr>
          <w:rFonts w:cs="Arial"/>
          <w:color w:val="2F5496" w:themeColor="accent1" w:themeShade="BF"/>
          <w:sz w:val="22"/>
          <w:szCs w:val="22"/>
        </w:rPr>
        <w:t xml:space="preserve"> and to ensure that the models conform</w:t>
      </w:r>
      <w:r w:rsidR="005525A4">
        <w:rPr>
          <w:rFonts w:cs="Arial"/>
          <w:color w:val="2F5496" w:themeColor="accent1" w:themeShade="BF"/>
          <w:sz w:val="22"/>
          <w:szCs w:val="22"/>
        </w:rPr>
        <w:t xml:space="preserve"> to standards</w:t>
      </w:r>
      <w:r w:rsidR="000859A1">
        <w:rPr>
          <w:rFonts w:cs="Arial"/>
          <w:color w:val="2F5496" w:themeColor="accent1" w:themeShade="BF"/>
          <w:sz w:val="22"/>
          <w:szCs w:val="22"/>
        </w:rPr>
        <w:t>, even before the paper is submitted for peer review</w:t>
      </w:r>
      <w:r w:rsidR="005525A4">
        <w:rPr>
          <w:rFonts w:cs="Arial"/>
          <w:color w:val="2F5496" w:themeColor="accent1" w:themeShade="BF"/>
          <w:sz w:val="22"/>
          <w:szCs w:val="22"/>
        </w:rPr>
        <w:t xml:space="preserve">. </w:t>
      </w:r>
    </w:p>
    <w:p w14:paraId="7D15AB24" w14:textId="77777777" w:rsidR="00E33905" w:rsidRPr="00CB6502" w:rsidRDefault="00E33905" w:rsidP="00E33905">
      <w:pPr>
        <w:rPr>
          <w:rFonts w:eastAsia="Times New Roman" w:cs="Times New Roman"/>
          <w:color w:val="2F5496" w:themeColor="accent1" w:themeShade="BF"/>
          <w:sz w:val="22"/>
          <w:szCs w:val="22"/>
        </w:rPr>
      </w:pPr>
    </w:p>
    <w:p w14:paraId="4353827B" w14:textId="2E558704" w:rsidR="00E33905" w:rsidRPr="00CB6502" w:rsidRDefault="00E33905" w:rsidP="00E33905">
      <w:pPr>
        <w:rPr>
          <w:rFonts w:cs="Times New Roman"/>
          <w:color w:val="2F5496" w:themeColor="accent1" w:themeShade="BF"/>
          <w:sz w:val="22"/>
          <w:szCs w:val="22"/>
        </w:rPr>
      </w:pPr>
      <w:r w:rsidRPr="00CB6502">
        <w:rPr>
          <w:rFonts w:cs="Arial"/>
          <w:color w:val="2F5496" w:themeColor="accent1" w:themeShade="BF"/>
          <w:sz w:val="22"/>
          <w:szCs w:val="22"/>
        </w:rPr>
        <w:t xml:space="preserve">§Part 5. </w:t>
      </w:r>
      <w:r w:rsidR="00A52987">
        <w:rPr>
          <w:rFonts w:cs="Arial"/>
          <w:color w:val="2F5496" w:themeColor="accent1" w:themeShade="BF"/>
          <w:sz w:val="22"/>
          <w:szCs w:val="22"/>
        </w:rPr>
        <w:t xml:space="preserve">By journaling </w:t>
      </w:r>
      <w:r w:rsidRPr="00CB6502">
        <w:rPr>
          <w:rFonts w:cs="Arial"/>
          <w:color w:val="2F5496" w:themeColor="accent1" w:themeShade="BF"/>
          <w:sz w:val="22"/>
          <w:szCs w:val="22"/>
        </w:rPr>
        <w:t>the experience</w:t>
      </w:r>
      <w:r w:rsidR="006F6E55">
        <w:rPr>
          <w:rFonts w:cs="Arial"/>
          <w:color w:val="2F5496" w:themeColor="accent1" w:themeShade="BF"/>
          <w:sz w:val="22"/>
          <w:szCs w:val="22"/>
        </w:rPr>
        <w:t xml:space="preserve"> of serving as co-reviewers</w:t>
      </w:r>
      <w:r w:rsidR="001F3269">
        <w:rPr>
          <w:rFonts w:cs="Arial"/>
          <w:color w:val="2F5496" w:themeColor="accent1" w:themeShade="BF"/>
          <w:sz w:val="22"/>
          <w:szCs w:val="22"/>
        </w:rPr>
        <w:t xml:space="preserve"> on one another’s projects</w:t>
      </w:r>
      <w:r w:rsidR="00A52987">
        <w:rPr>
          <w:rFonts w:cs="Arial"/>
          <w:color w:val="2F5496" w:themeColor="accent1" w:themeShade="BF"/>
          <w:sz w:val="22"/>
          <w:szCs w:val="22"/>
        </w:rPr>
        <w:t xml:space="preserve">, we are </w:t>
      </w:r>
      <w:r w:rsidR="003826F2">
        <w:rPr>
          <w:rFonts w:cs="Arial"/>
          <w:color w:val="2F5496" w:themeColor="accent1" w:themeShade="BF"/>
          <w:sz w:val="22"/>
          <w:szCs w:val="22"/>
        </w:rPr>
        <w:t xml:space="preserve">showcasing the evolution of our ideas </w:t>
      </w:r>
      <w:r w:rsidR="009C2C8C">
        <w:rPr>
          <w:rFonts w:cs="Arial"/>
          <w:color w:val="2F5496" w:themeColor="accent1" w:themeShade="BF"/>
          <w:sz w:val="22"/>
          <w:szCs w:val="22"/>
        </w:rPr>
        <w:t xml:space="preserve">about model </w:t>
      </w:r>
      <w:r w:rsidR="003B139C">
        <w:rPr>
          <w:rFonts w:cs="Arial"/>
          <w:color w:val="2F5496" w:themeColor="accent1" w:themeShade="BF"/>
          <w:sz w:val="22"/>
          <w:szCs w:val="22"/>
        </w:rPr>
        <w:t xml:space="preserve">credibility, as we </w:t>
      </w:r>
      <w:r w:rsidR="009C2C8C">
        <w:rPr>
          <w:rFonts w:cs="Arial"/>
          <w:color w:val="2F5496" w:themeColor="accent1" w:themeShade="BF"/>
          <w:sz w:val="22"/>
          <w:szCs w:val="22"/>
        </w:rPr>
        <w:t xml:space="preserve">check </w:t>
      </w:r>
      <w:r w:rsidR="003826F2">
        <w:rPr>
          <w:rFonts w:cs="Arial"/>
          <w:color w:val="2F5496" w:themeColor="accent1" w:themeShade="BF"/>
          <w:sz w:val="22"/>
          <w:szCs w:val="22"/>
        </w:rPr>
        <w:t>and their implementation</w:t>
      </w:r>
      <w:r w:rsidR="001F3269">
        <w:rPr>
          <w:rFonts w:cs="Arial"/>
          <w:color w:val="2F5496" w:themeColor="accent1" w:themeShade="BF"/>
          <w:sz w:val="22"/>
          <w:szCs w:val="22"/>
        </w:rPr>
        <w:t xml:space="preserve"> in our workflow</w:t>
      </w:r>
      <w:r w:rsidR="003826F2">
        <w:rPr>
          <w:rFonts w:cs="Arial"/>
          <w:color w:val="2F5496" w:themeColor="accent1" w:themeShade="BF"/>
          <w:sz w:val="22"/>
          <w:szCs w:val="22"/>
        </w:rPr>
        <w:t xml:space="preserve">. </w:t>
      </w:r>
      <w:r w:rsidR="001F3269">
        <w:rPr>
          <w:rFonts w:cs="Arial"/>
          <w:color w:val="2F5496" w:themeColor="accent1" w:themeShade="BF"/>
          <w:sz w:val="22"/>
          <w:szCs w:val="22"/>
        </w:rPr>
        <w:t>We hope to</w:t>
      </w:r>
      <w:r w:rsidR="00A52987">
        <w:rPr>
          <w:rFonts w:cs="Arial"/>
          <w:color w:val="2F5496" w:themeColor="accent1" w:themeShade="BF"/>
          <w:sz w:val="22"/>
          <w:szCs w:val="22"/>
        </w:rPr>
        <w:t xml:space="preserve"> </w:t>
      </w:r>
      <w:r w:rsidR="001F3269">
        <w:rPr>
          <w:rFonts w:cs="Arial"/>
          <w:color w:val="2F5496" w:themeColor="accent1" w:themeShade="BF"/>
          <w:sz w:val="22"/>
          <w:szCs w:val="22"/>
        </w:rPr>
        <w:t>contribute</w:t>
      </w:r>
      <w:r w:rsidR="00A52987">
        <w:rPr>
          <w:rFonts w:cs="Arial"/>
          <w:color w:val="2F5496" w:themeColor="accent1" w:themeShade="BF"/>
          <w:sz w:val="22"/>
          <w:szCs w:val="22"/>
        </w:rPr>
        <w:t xml:space="preserve"> a template of activities that could be encouraged or required by other modelers in the </w:t>
      </w:r>
      <w:r w:rsidR="00FD7447">
        <w:rPr>
          <w:rFonts w:cs="Arial"/>
          <w:color w:val="2F5496" w:themeColor="accent1" w:themeShade="BF"/>
          <w:sz w:val="22"/>
          <w:szCs w:val="22"/>
        </w:rPr>
        <w:t>MSM community</w:t>
      </w:r>
      <w:r w:rsidR="00A52987">
        <w:rPr>
          <w:rFonts w:cs="Arial"/>
          <w:color w:val="2F5496" w:themeColor="accent1" w:themeShade="BF"/>
          <w:sz w:val="22"/>
          <w:szCs w:val="22"/>
        </w:rPr>
        <w:t>.</w:t>
      </w:r>
    </w:p>
    <w:p w14:paraId="3256E1AB" w14:textId="77777777" w:rsidR="00800FAE" w:rsidRPr="00CB6502" w:rsidRDefault="00800FAE" w:rsidP="00800FAE">
      <w:pPr>
        <w:rPr>
          <w:rFonts w:eastAsia="Times New Roman" w:cs="Times New Roman"/>
          <w:color w:val="2F5496" w:themeColor="accent1" w:themeShade="BF"/>
          <w:sz w:val="22"/>
          <w:szCs w:val="22"/>
        </w:rPr>
      </w:pPr>
    </w:p>
    <w:p w14:paraId="2D298D73" w14:textId="77777777" w:rsidR="00ED175D" w:rsidRPr="004C4687" w:rsidRDefault="00ED175D" w:rsidP="00ED175D">
      <w:pPr>
        <w:spacing w:line="253" w:lineRule="atLeast"/>
        <w:ind w:left="1440"/>
        <w:rPr>
          <w:rFonts w:eastAsia="Times New Roman" w:cs="Times New Roman"/>
          <w:color w:val="000000"/>
          <w:sz w:val="22"/>
          <w:szCs w:val="22"/>
        </w:rPr>
      </w:pPr>
    </w:p>
    <w:p w14:paraId="3E2C9BF4" w14:textId="77777777" w:rsidR="003A7A3F" w:rsidRDefault="003A7A3F" w:rsidP="003A7A3F">
      <w:pPr>
        <w:numPr>
          <w:ilvl w:val="1"/>
          <w:numId w:val="2"/>
        </w:numPr>
        <w:spacing w:line="253" w:lineRule="atLeast"/>
        <w:rPr>
          <w:rFonts w:eastAsia="Times New Roman" w:cs="Times New Roman"/>
          <w:color w:val="000000"/>
          <w:sz w:val="22"/>
          <w:szCs w:val="22"/>
        </w:rPr>
      </w:pPr>
      <w:r w:rsidRPr="004C4687">
        <w:rPr>
          <w:rFonts w:eastAsia="Times New Roman" w:cs="Times New Roman"/>
          <w:color w:val="000000"/>
          <w:sz w:val="22"/>
          <w:szCs w:val="22"/>
        </w:rPr>
        <w:lastRenderedPageBreak/>
        <w:t>Actions and activities classified within the CPMS TSR framework (item-by-item summary table). If any of the TSR items are not being implemented/considered or additional items are being implemented, this information should also be explicitly stated</w:t>
      </w:r>
    </w:p>
    <w:p w14:paraId="186D8659" w14:textId="77777777" w:rsidR="0046346D" w:rsidRDefault="0046346D" w:rsidP="0046346D">
      <w:pPr>
        <w:spacing w:line="253" w:lineRule="atLeast"/>
        <w:rPr>
          <w:rFonts w:eastAsia="Times New Roman" w:cs="Times New Roman"/>
          <w:color w:val="000000"/>
          <w:sz w:val="22"/>
          <w:szCs w:val="22"/>
        </w:rPr>
      </w:pPr>
    </w:p>
    <w:p w14:paraId="645A0B91" w14:textId="652A424C" w:rsidR="00C972D9" w:rsidRPr="00C972D9" w:rsidRDefault="00334185" w:rsidP="00C972D9">
      <w:pPr>
        <w:rPr>
          <w:rFonts w:cs="Times New Roman"/>
          <w:b/>
          <w:color w:val="2F5496" w:themeColor="accent1" w:themeShade="BF"/>
          <w:sz w:val="22"/>
          <w:szCs w:val="22"/>
        </w:rPr>
      </w:pPr>
      <w:r w:rsidRPr="00CB6502">
        <w:rPr>
          <w:rFonts w:cs="Arial"/>
          <w:color w:val="2F5496" w:themeColor="accent1" w:themeShade="BF"/>
          <w:sz w:val="22"/>
          <w:szCs w:val="22"/>
        </w:rPr>
        <w:t>§</w:t>
      </w:r>
      <w:r w:rsidR="0046346D" w:rsidRPr="00C972D9">
        <w:rPr>
          <w:rFonts w:cs="Arial"/>
          <w:b/>
          <w:i/>
          <w:iCs/>
          <w:color w:val="2F5496" w:themeColor="accent1" w:themeShade="BF"/>
          <w:sz w:val="22"/>
          <w:szCs w:val="22"/>
        </w:rPr>
        <w:t>Part 1 Action items:</w:t>
      </w:r>
      <w:r w:rsidR="0046346D" w:rsidRPr="00C972D9">
        <w:rPr>
          <w:rFonts w:cs="Arial"/>
          <w:b/>
          <w:color w:val="2F5496" w:themeColor="accent1" w:themeShade="BF"/>
          <w:sz w:val="22"/>
          <w:szCs w:val="22"/>
        </w:rPr>
        <w:t xml:space="preserve"> </w:t>
      </w:r>
      <w:r w:rsidR="00C972D9" w:rsidRPr="00C972D9">
        <w:rPr>
          <w:rFonts w:cs="Arial"/>
          <w:b/>
          <w:color w:val="2F5496" w:themeColor="accent1" w:themeShade="BF"/>
          <w:sz w:val="22"/>
          <w:szCs w:val="22"/>
        </w:rPr>
        <w:t>[Rule 1 (define context), Rule 6 (document)]</w:t>
      </w:r>
    </w:p>
    <w:p w14:paraId="5578D983" w14:textId="77777777" w:rsidR="0046346D" w:rsidRPr="00CB6502" w:rsidRDefault="0046346D" w:rsidP="0046346D">
      <w:pPr>
        <w:rPr>
          <w:rFonts w:cs="Times New Roman"/>
          <w:color w:val="2F5496" w:themeColor="accent1" w:themeShade="BF"/>
          <w:sz w:val="22"/>
          <w:szCs w:val="22"/>
        </w:rPr>
      </w:pPr>
      <w:r w:rsidRPr="00CB6502">
        <w:rPr>
          <w:rFonts w:cs="Arial"/>
          <w:color w:val="2F5496" w:themeColor="accent1" w:themeShade="BF"/>
          <w:sz w:val="22"/>
          <w:szCs w:val="22"/>
        </w:rPr>
        <w:t xml:space="preserve">Peirce-Cottler/Blemker </w:t>
      </w:r>
      <w:r>
        <w:rPr>
          <w:rFonts w:cs="Arial"/>
          <w:color w:val="2F5496" w:themeColor="accent1" w:themeShade="BF"/>
          <w:sz w:val="22"/>
          <w:szCs w:val="22"/>
        </w:rPr>
        <w:t xml:space="preserve">held a </w:t>
      </w:r>
      <w:r w:rsidRPr="00CB6502">
        <w:rPr>
          <w:rFonts w:cs="Arial"/>
          <w:color w:val="2F5496" w:themeColor="accent1" w:themeShade="BF"/>
          <w:sz w:val="22"/>
          <w:szCs w:val="22"/>
        </w:rPr>
        <w:t xml:space="preserve">joint lab meeting </w:t>
      </w:r>
      <w:r>
        <w:rPr>
          <w:rFonts w:cs="Arial"/>
          <w:color w:val="2F5496" w:themeColor="accent1" w:themeShade="BF"/>
          <w:sz w:val="22"/>
          <w:szCs w:val="22"/>
        </w:rPr>
        <w:t xml:space="preserve">on </w:t>
      </w:r>
      <w:r w:rsidRPr="00CB6502">
        <w:rPr>
          <w:rFonts w:cs="Arial"/>
          <w:color w:val="2F5496" w:themeColor="accent1" w:themeShade="BF"/>
          <w:sz w:val="22"/>
          <w:szCs w:val="22"/>
        </w:rPr>
        <w:t xml:space="preserve">9.27.18 for UVA students to download models on </w:t>
      </w:r>
      <w:hyperlink r:id="rId7" w:history="1">
        <w:r w:rsidRPr="00CB6502">
          <w:rPr>
            <w:rFonts w:cs="Arial"/>
            <w:color w:val="2F5496" w:themeColor="accent1" w:themeShade="BF"/>
            <w:sz w:val="22"/>
            <w:szCs w:val="22"/>
            <w:u w:val="single"/>
          </w:rPr>
          <w:t>http://malthus.micro.med.umich.edu/GranSim/</w:t>
        </w:r>
      </w:hyperlink>
    </w:p>
    <w:p w14:paraId="183D62F0" w14:textId="3DF164C4" w:rsidR="0046346D" w:rsidRDefault="0046346D" w:rsidP="0046346D">
      <w:pPr>
        <w:rPr>
          <w:rFonts w:cs="Arial"/>
          <w:color w:val="2F5496" w:themeColor="accent1" w:themeShade="BF"/>
          <w:sz w:val="22"/>
          <w:szCs w:val="22"/>
        </w:rPr>
      </w:pPr>
      <w:r w:rsidRPr="00CB6502">
        <w:rPr>
          <w:rFonts w:cs="Arial"/>
          <w:color w:val="2F5496" w:themeColor="accent1" w:themeShade="BF"/>
          <w:sz w:val="22"/>
          <w:szCs w:val="22"/>
        </w:rPr>
        <w:t xml:space="preserve">and provide feedback to </w:t>
      </w:r>
      <w:r w:rsidR="008323D5">
        <w:rPr>
          <w:rFonts w:cs="Arial"/>
          <w:color w:val="2F5496" w:themeColor="accent1" w:themeShade="BF"/>
          <w:sz w:val="22"/>
          <w:szCs w:val="22"/>
        </w:rPr>
        <w:t>Kirschner</w:t>
      </w:r>
      <w:r>
        <w:rPr>
          <w:rFonts w:cs="Arial"/>
          <w:color w:val="2F5496" w:themeColor="accent1" w:themeShade="BF"/>
          <w:sz w:val="22"/>
          <w:szCs w:val="22"/>
        </w:rPr>
        <w:t xml:space="preserve"> and Linderman</w:t>
      </w:r>
      <w:r w:rsidRPr="00CB6502">
        <w:rPr>
          <w:rFonts w:cs="Arial"/>
          <w:color w:val="2F5496" w:themeColor="accent1" w:themeShade="BF"/>
          <w:sz w:val="22"/>
          <w:szCs w:val="22"/>
        </w:rPr>
        <w:t>.</w:t>
      </w:r>
      <w:r w:rsidRPr="00CB6502">
        <w:rPr>
          <w:rFonts w:cs="Times New Roman"/>
          <w:color w:val="2F5496" w:themeColor="accent1" w:themeShade="BF"/>
          <w:sz w:val="22"/>
          <w:szCs w:val="22"/>
        </w:rPr>
        <w:t xml:space="preserve"> </w:t>
      </w:r>
      <w:r w:rsidRPr="00CB6502">
        <w:rPr>
          <w:rFonts w:cs="Arial"/>
          <w:color w:val="2F5496" w:themeColor="accent1" w:themeShade="BF"/>
          <w:sz w:val="22"/>
          <w:szCs w:val="22"/>
        </w:rPr>
        <w:t xml:space="preserve">In the future, Kirsher and Linderman will have their </w:t>
      </w:r>
      <w:r>
        <w:rPr>
          <w:rFonts w:cs="Arial"/>
          <w:color w:val="2F5496" w:themeColor="accent1" w:themeShade="BF"/>
          <w:sz w:val="22"/>
          <w:szCs w:val="22"/>
        </w:rPr>
        <w:t xml:space="preserve">lab </w:t>
      </w:r>
      <w:r w:rsidRPr="00CB6502">
        <w:rPr>
          <w:rFonts w:cs="Arial"/>
          <w:color w:val="2F5496" w:themeColor="accent1" w:themeShade="BF"/>
          <w:sz w:val="22"/>
          <w:szCs w:val="22"/>
        </w:rPr>
        <w:t xml:space="preserve">groups do the same thing with the multiscale models that Blemker and Peirce-Cottler have already posted on FEBio. </w:t>
      </w:r>
    </w:p>
    <w:p w14:paraId="36FC9279" w14:textId="77777777" w:rsidR="00800FAE" w:rsidRDefault="00800FAE" w:rsidP="0046346D">
      <w:pPr>
        <w:rPr>
          <w:rFonts w:cs="Arial"/>
          <w:color w:val="2F5496" w:themeColor="accent1" w:themeShade="BF"/>
          <w:sz w:val="22"/>
          <w:szCs w:val="22"/>
        </w:rPr>
      </w:pPr>
    </w:p>
    <w:p w14:paraId="6D7A9CA7" w14:textId="213E4B15" w:rsidR="00C972D9" w:rsidRPr="00C972D9" w:rsidRDefault="00334185" w:rsidP="00A77F78">
      <w:pPr>
        <w:rPr>
          <w:rFonts w:cs="Arial"/>
          <w:b/>
          <w:color w:val="2F5496" w:themeColor="accent1" w:themeShade="BF"/>
          <w:sz w:val="22"/>
          <w:szCs w:val="22"/>
        </w:rPr>
      </w:pPr>
      <w:r w:rsidRPr="00CB6502">
        <w:rPr>
          <w:rFonts w:cs="Arial"/>
          <w:color w:val="2F5496" w:themeColor="accent1" w:themeShade="BF"/>
          <w:sz w:val="22"/>
          <w:szCs w:val="22"/>
        </w:rPr>
        <w:t>§</w:t>
      </w:r>
      <w:r w:rsidR="00A77F78" w:rsidRPr="00C972D9">
        <w:rPr>
          <w:rFonts w:cs="Arial"/>
          <w:b/>
          <w:i/>
          <w:iCs/>
          <w:color w:val="2F5496" w:themeColor="accent1" w:themeShade="BF"/>
          <w:sz w:val="22"/>
          <w:szCs w:val="22"/>
        </w:rPr>
        <w:t>Part 2 Action items:</w:t>
      </w:r>
      <w:r w:rsidR="00A77F78" w:rsidRPr="00C972D9">
        <w:rPr>
          <w:rFonts w:cs="Arial"/>
          <w:b/>
          <w:color w:val="2F5496" w:themeColor="accent1" w:themeShade="BF"/>
          <w:sz w:val="22"/>
          <w:szCs w:val="22"/>
        </w:rPr>
        <w:t xml:space="preserve"> </w:t>
      </w:r>
      <w:r w:rsidR="00C972D9" w:rsidRPr="00C972D9">
        <w:rPr>
          <w:rFonts w:cs="Arial"/>
          <w:b/>
          <w:color w:val="2F5496" w:themeColor="accent1" w:themeShade="BF"/>
          <w:sz w:val="22"/>
          <w:szCs w:val="22"/>
        </w:rPr>
        <w:t>[Rule 1 (define context), Rule 2 (use of data), Rule 3 (evaluate within context), Rule 4 (limitations)]</w:t>
      </w:r>
    </w:p>
    <w:p w14:paraId="1F529411" w14:textId="3392BA2B" w:rsidR="00A77F78" w:rsidRPr="00CB6502" w:rsidRDefault="008323D5" w:rsidP="00A77F78">
      <w:pPr>
        <w:rPr>
          <w:rFonts w:cs="Times New Roman"/>
          <w:color w:val="2F5496" w:themeColor="accent1" w:themeShade="BF"/>
          <w:sz w:val="22"/>
          <w:szCs w:val="22"/>
        </w:rPr>
      </w:pPr>
      <w:r>
        <w:rPr>
          <w:rFonts w:cs="Arial"/>
          <w:color w:val="2F5496" w:themeColor="accent1" w:themeShade="BF"/>
          <w:sz w:val="22"/>
          <w:szCs w:val="22"/>
        </w:rPr>
        <w:t>Kirschner</w:t>
      </w:r>
      <w:r w:rsidR="00A77F78" w:rsidRPr="00CB6502">
        <w:rPr>
          <w:rFonts w:cs="Arial"/>
          <w:color w:val="2F5496" w:themeColor="accent1" w:themeShade="BF"/>
          <w:sz w:val="22"/>
          <w:szCs w:val="22"/>
        </w:rPr>
        <w:t xml:space="preserve"> and Linderman are working on a short manuscript for the </w:t>
      </w:r>
      <w:r w:rsidR="00A77F78" w:rsidRPr="00CB6502">
        <w:rPr>
          <w:rFonts w:cs="Arial"/>
          <w:color w:val="2F5496" w:themeColor="accent1" w:themeShade="BF"/>
          <w:sz w:val="22"/>
          <w:szCs w:val="22"/>
          <w:u w:val="single"/>
        </w:rPr>
        <w:t>Bulletin of Mathematical Biology</w:t>
      </w:r>
      <w:r w:rsidR="00A77F78" w:rsidRPr="00CB6502">
        <w:rPr>
          <w:rFonts w:cs="Arial"/>
          <w:color w:val="2F5496" w:themeColor="accent1" w:themeShade="BF"/>
          <w:sz w:val="22"/>
          <w:szCs w:val="22"/>
        </w:rPr>
        <w:t xml:space="preserve"> on the topic of a method for converting 2D to 3D model representations given data is 2D and 3D. Blemker and Peirce-Cottler will read and determine if they can </w:t>
      </w:r>
      <w:proofErr w:type="gramStart"/>
      <w:r w:rsidR="00A77F78" w:rsidRPr="00CB6502">
        <w:rPr>
          <w:rFonts w:cs="Arial"/>
          <w:color w:val="2F5496" w:themeColor="accent1" w:themeShade="BF"/>
          <w:sz w:val="22"/>
          <w:szCs w:val="22"/>
        </w:rPr>
        <w:t>make a contribution</w:t>
      </w:r>
      <w:proofErr w:type="gramEnd"/>
      <w:r w:rsidR="00A77F78" w:rsidRPr="00CB6502">
        <w:rPr>
          <w:rFonts w:cs="Arial"/>
          <w:color w:val="2F5496" w:themeColor="accent1" w:themeShade="BF"/>
          <w:sz w:val="22"/>
          <w:szCs w:val="22"/>
        </w:rPr>
        <w:t xml:space="preserve"> by providing an example that pertains to multi-cylindrical geometry (i.e. skeletal muscle). </w:t>
      </w:r>
    </w:p>
    <w:p w14:paraId="372EF3FA" w14:textId="77777777" w:rsidR="00A77F78" w:rsidRDefault="00A77F78" w:rsidP="0046346D">
      <w:pPr>
        <w:rPr>
          <w:rFonts w:cs="Arial"/>
          <w:color w:val="2F5496" w:themeColor="accent1" w:themeShade="BF"/>
          <w:sz w:val="22"/>
          <w:szCs w:val="22"/>
        </w:rPr>
      </w:pPr>
    </w:p>
    <w:p w14:paraId="4CAB16C3" w14:textId="6DD32690" w:rsidR="00C972D9" w:rsidRPr="00C972D9" w:rsidRDefault="00334185" w:rsidP="00197BA4">
      <w:pPr>
        <w:rPr>
          <w:rFonts w:cs="Arial"/>
          <w:b/>
          <w:color w:val="2F5496" w:themeColor="accent1" w:themeShade="BF"/>
          <w:sz w:val="22"/>
          <w:szCs w:val="22"/>
        </w:rPr>
      </w:pPr>
      <w:r w:rsidRPr="00CB6502">
        <w:rPr>
          <w:rFonts w:cs="Arial"/>
          <w:color w:val="2F5496" w:themeColor="accent1" w:themeShade="BF"/>
          <w:sz w:val="22"/>
          <w:szCs w:val="22"/>
        </w:rPr>
        <w:t>§</w:t>
      </w:r>
      <w:r w:rsidR="00197BA4" w:rsidRPr="00C972D9">
        <w:rPr>
          <w:rFonts w:cs="Arial"/>
          <w:b/>
          <w:i/>
          <w:iCs/>
          <w:color w:val="2F5496" w:themeColor="accent1" w:themeShade="BF"/>
          <w:sz w:val="22"/>
          <w:szCs w:val="22"/>
        </w:rPr>
        <w:t>Part 3 Action items:</w:t>
      </w:r>
      <w:r w:rsidR="00197BA4" w:rsidRPr="00C972D9">
        <w:rPr>
          <w:rFonts w:cs="Arial"/>
          <w:b/>
          <w:color w:val="2F5496" w:themeColor="accent1" w:themeShade="BF"/>
          <w:sz w:val="22"/>
          <w:szCs w:val="22"/>
        </w:rPr>
        <w:t xml:space="preserve"> </w:t>
      </w:r>
      <w:r w:rsidR="00C972D9" w:rsidRPr="00C972D9">
        <w:rPr>
          <w:rFonts w:cs="Arial"/>
          <w:b/>
          <w:color w:val="2F5496" w:themeColor="accent1" w:themeShade="BF"/>
          <w:sz w:val="22"/>
          <w:szCs w:val="22"/>
        </w:rPr>
        <w:t xml:space="preserve"> [Rule 5 (version control), Rule 6 (document), Rule 9 (competing implementations)]</w:t>
      </w:r>
    </w:p>
    <w:p w14:paraId="7313B9E0" w14:textId="6389E367" w:rsidR="00197BA4" w:rsidRPr="00CB6502" w:rsidRDefault="00197BA4" w:rsidP="00197BA4">
      <w:pPr>
        <w:rPr>
          <w:rFonts w:cs="Times New Roman"/>
          <w:color w:val="2F5496" w:themeColor="accent1" w:themeShade="BF"/>
          <w:sz w:val="22"/>
          <w:szCs w:val="22"/>
        </w:rPr>
      </w:pPr>
      <w:r w:rsidRPr="00CB6502">
        <w:rPr>
          <w:rFonts w:cs="Arial"/>
          <w:color w:val="2F5496" w:themeColor="accent1" w:themeShade="BF"/>
          <w:sz w:val="22"/>
          <w:szCs w:val="22"/>
        </w:rPr>
        <w:t>Blemker/Peirce-</w:t>
      </w:r>
      <w:proofErr w:type="spellStart"/>
      <w:r w:rsidRPr="00CB6502">
        <w:rPr>
          <w:rFonts w:cs="Arial"/>
          <w:color w:val="2F5496" w:themeColor="accent1" w:themeShade="BF"/>
          <w:sz w:val="22"/>
          <w:szCs w:val="22"/>
        </w:rPr>
        <w:t>Cottler</w:t>
      </w:r>
      <w:proofErr w:type="spellEnd"/>
      <w:r w:rsidRPr="00CB6502">
        <w:rPr>
          <w:rFonts w:cs="Arial"/>
          <w:color w:val="2F5496" w:themeColor="accent1" w:themeShade="BF"/>
          <w:sz w:val="22"/>
          <w:szCs w:val="22"/>
        </w:rPr>
        <w:t xml:space="preserve"> and Linderman/</w:t>
      </w:r>
      <w:r w:rsidR="008323D5">
        <w:rPr>
          <w:rFonts w:cs="Arial"/>
          <w:color w:val="2F5496" w:themeColor="accent1" w:themeShade="BF"/>
          <w:sz w:val="22"/>
          <w:szCs w:val="22"/>
        </w:rPr>
        <w:t>Kirschner</w:t>
      </w:r>
      <w:r w:rsidRPr="00CB6502">
        <w:rPr>
          <w:rFonts w:cs="Arial"/>
          <w:color w:val="2F5496" w:themeColor="accent1" w:themeShade="BF"/>
          <w:sz w:val="22"/>
          <w:szCs w:val="22"/>
        </w:rPr>
        <w:t xml:space="preserve"> have worked together to implement the best practices document for version control and model documentation (attached) that their respective lab groups have crafted and swapped and we have posted this to the IMAG Wiki so that feedback can be solicited from the broader MSM community. </w:t>
      </w:r>
    </w:p>
    <w:p w14:paraId="6CD2EE7A" w14:textId="77777777" w:rsidR="00197BA4" w:rsidRDefault="00197BA4" w:rsidP="0046346D">
      <w:pPr>
        <w:rPr>
          <w:rFonts w:cs="Arial"/>
          <w:color w:val="2F5496" w:themeColor="accent1" w:themeShade="BF"/>
          <w:sz w:val="22"/>
          <w:szCs w:val="22"/>
        </w:rPr>
      </w:pPr>
    </w:p>
    <w:p w14:paraId="33FFB36C" w14:textId="587B5C85" w:rsidR="00C972D9" w:rsidRPr="00C972D9" w:rsidRDefault="00334185" w:rsidP="00697097">
      <w:pPr>
        <w:rPr>
          <w:rFonts w:cs="Arial"/>
          <w:b/>
          <w:color w:val="2F5496" w:themeColor="accent1" w:themeShade="BF"/>
          <w:sz w:val="22"/>
          <w:szCs w:val="22"/>
        </w:rPr>
      </w:pPr>
      <w:r w:rsidRPr="00CB6502">
        <w:rPr>
          <w:rFonts w:cs="Arial"/>
          <w:color w:val="2F5496" w:themeColor="accent1" w:themeShade="BF"/>
          <w:sz w:val="22"/>
          <w:szCs w:val="22"/>
        </w:rPr>
        <w:t>§</w:t>
      </w:r>
      <w:r w:rsidR="00697097" w:rsidRPr="00C972D9">
        <w:rPr>
          <w:rFonts w:cs="Arial"/>
          <w:b/>
          <w:i/>
          <w:iCs/>
          <w:color w:val="2F5496" w:themeColor="accent1" w:themeShade="BF"/>
          <w:sz w:val="22"/>
          <w:szCs w:val="22"/>
        </w:rPr>
        <w:t>Part 4 Action items:</w:t>
      </w:r>
      <w:r w:rsidR="00697097" w:rsidRPr="00C972D9">
        <w:rPr>
          <w:rFonts w:cs="Arial"/>
          <w:b/>
          <w:color w:val="2F5496" w:themeColor="accent1" w:themeShade="BF"/>
          <w:sz w:val="22"/>
          <w:szCs w:val="22"/>
        </w:rPr>
        <w:t xml:space="preserve"> </w:t>
      </w:r>
      <w:r w:rsidR="00C972D9" w:rsidRPr="00C972D9">
        <w:rPr>
          <w:rFonts w:cs="Arial"/>
          <w:b/>
          <w:color w:val="2F5496" w:themeColor="accent1" w:themeShade="BF"/>
          <w:sz w:val="22"/>
          <w:szCs w:val="22"/>
        </w:rPr>
        <w:t>[Rule 7 (disseminate broadly), Rule 8 (independent reviews), Rule 10 (conform to standards)]</w:t>
      </w:r>
    </w:p>
    <w:p w14:paraId="5631FCED" w14:textId="2C675E09" w:rsidR="00697097" w:rsidRPr="00CB6502" w:rsidRDefault="00697097" w:rsidP="00697097">
      <w:pPr>
        <w:rPr>
          <w:rFonts w:cs="Times New Roman"/>
          <w:color w:val="2F5496" w:themeColor="accent1" w:themeShade="BF"/>
          <w:sz w:val="22"/>
          <w:szCs w:val="22"/>
        </w:rPr>
      </w:pPr>
      <w:r w:rsidRPr="00CB6502">
        <w:rPr>
          <w:rFonts w:cs="Arial"/>
          <w:color w:val="2F5496" w:themeColor="accent1" w:themeShade="BF"/>
          <w:sz w:val="22"/>
          <w:szCs w:val="22"/>
        </w:rPr>
        <w:t>Blemker/Peirce-</w:t>
      </w:r>
      <w:proofErr w:type="spellStart"/>
      <w:r w:rsidRPr="00CB6502">
        <w:rPr>
          <w:rFonts w:cs="Arial"/>
          <w:color w:val="2F5496" w:themeColor="accent1" w:themeShade="BF"/>
          <w:sz w:val="22"/>
          <w:szCs w:val="22"/>
        </w:rPr>
        <w:t>Cottler</w:t>
      </w:r>
      <w:proofErr w:type="spellEnd"/>
      <w:r w:rsidRPr="00CB6502">
        <w:rPr>
          <w:rFonts w:cs="Arial"/>
          <w:color w:val="2F5496" w:themeColor="accent1" w:themeShade="BF"/>
          <w:sz w:val="22"/>
          <w:szCs w:val="22"/>
        </w:rPr>
        <w:t xml:space="preserve"> and Linderman/</w:t>
      </w:r>
      <w:r w:rsidR="008323D5">
        <w:rPr>
          <w:rFonts w:cs="Arial"/>
          <w:color w:val="2F5496" w:themeColor="accent1" w:themeShade="BF"/>
          <w:sz w:val="22"/>
          <w:szCs w:val="22"/>
        </w:rPr>
        <w:t>Kirschner</w:t>
      </w:r>
      <w:r w:rsidRPr="00CB6502">
        <w:rPr>
          <w:rFonts w:cs="Arial"/>
          <w:color w:val="2F5496" w:themeColor="accent1" w:themeShade="BF"/>
          <w:sz w:val="22"/>
          <w:szCs w:val="22"/>
        </w:rPr>
        <w:t xml:space="preserve"> will share “near-final” drafts of papers for feedback from each other’s lab groups, and the feedback provided will focus on how well the model is described (reproducibility) and conforms to standards. In the near term (</w:t>
      </w:r>
      <w:r>
        <w:rPr>
          <w:rFonts w:cs="Arial"/>
          <w:color w:val="2F5496" w:themeColor="accent1" w:themeShade="BF"/>
          <w:sz w:val="22"/>
          <w:szCs w:val="22"/>
        </w:rPr>
        <w:t>within the next two months), Blemker and Peirce-Cottler</w:t>
      </w:r>
      <w:r w:rsidRPr="00CB6502">
        <w:rPr>
          <w:rFonts w:cs="Arial"/>
          <w:color w:val="2F5496" w:themeColor="accent1" w:themeShade="BF"/>
          <w:sz w:val="22"/>
          <w:szCs w:val="22"/>
        </w:rPr>
        <w:t xml:space="preserve"> will send Kelley Virgilio’s paper </w:t>
      </w:r>
      <w:r>
        <w:rPr>
          <w:rFonts w:cs="Arial"/>
          <w:color w:val="2F5496" w:themeColor="accent1" w:themeShade="BF"/>
          <w:sz w:val="22"/>
          <w:szCs w:val="22"/>
        </w:rPr>
        <w:t xml:space="preserve">and </w:t>
      </w:r>
      <w:r w:rsidRPr="00CB6502">
        <w:rPr>
          <w:rFonts w:cs="Arial"/>
          <w:color w:val="2F5496" w:themeColor="accent1" w:themeShade="BF"/>
          <w:sz w:val="22"/>
          <w:szCs w:val="22"/>
        </w:rPr>
        <w:t>Michaela</w:t>
      </w:r>
      <w:r>
        <w:rPr>
          <w:rFonts w:cs="Arial"/>
          <w:color w:val="2F5496" w:themeColor="accent1" w:themeShade="BF"/>
          <w:sz w:val="22"/>
          <w:szCs w:val="22"/>
        </w:rPr>
        <w:t xml:space="preserve"> Rikard</w:t>
      </w:r>
      <w:r w:rsidRPr="00CB6502">
        <w:rPr>
          <w:rFonts w:cs="Arial"/>
          <w:color w:val="2F5496" w:themeColor="accent1" w:themeShade="BF"/>
          <w:sz w:val="22"/>
          <w:szCs w:val="22"/>
        </w:rPr>
        <w:t>’s paper</w:t>
      </w:r>
      <w:r>
        <w:rPr>
          <w:rFonts w:cs="Arial"/>
          <w:color w:val="2F5496" w:themeColor="accent1" w:themeShade="BF"/>
          <w:sz w:val="22"/>
          <w:szCs w:val="22"/>
        </w:rPr>
        <w:t xml:space="preserve"> to Linderman and </w:t>
      </w:r>
      <w:r w:rsidR="008323D5">
        <w:rPr>
          <w:rFonts w:cs="Arial"/>
          <w:color w:val="2F5496" w:themeColor="accent1" w:themeShade="BF"/>
          <w:sz w:val="22"/>
          <w:szCs w:val="22"/>
        </w:rPr>
        <w:t>Kirschner</w:t>
      </w:r>
      <w:r w:rsidRPr="00CB6502">
        <w:rPr>
          <w:rFonts w:cs="Arial"/>
          <w:color w:val="2F5496" w:themeColor="accent1" w:themeShade="BF"/>
          <w:sz w:val="22"/>
          <w:szCs w:val="22"/>
        </w:rPr>
        <w:t xml:space="preserve"> for feedback.</w:t>
      </w:r>
    </w:p>
    <w:p w14:paraId="1AEECCC2" w14:textId="77777777" w:rsidR="00697097" w:rsidRDefault="00697097" w:rsidP="0046346D">
      <w:pPr>
        <w:rPr>
          <w:rFonts w:cs="Arial"/>
          <w:color w:val="2F5496" w:themeColor="accent1" w:themeShade="BF"/>
          <w:sz w:val="22"/>
          <w:szCs w:val="22"/>
        </w:rPr>
      </w:pPr>
    </w:p>
    <w:p w14:paraId="5AD44E7B" w14:textId="0F993E0D" w:rsidR="00367208" w:rsidRPr="00367208" w:rsidRDefault="00334185" w:rsidP="00800FAE">
      <w:pPr>
        <w:rPr>
          <w:rFonts w:cs="Arial"/>
          <w:b/>
          <w:color w:val="2F5496" w:themeColor="accent1" w:themeShade="BF"/>
          <w:sz w:val="22"/>
          <w:szCs w:val="22"/>
        </w:rPr>
      </w:pPr>
      <w:r w:rsidRPr="00CB6502">
        <w:rPr>
          <w:rFonts w:cs="Arial"/>
          <w:color w:val="2F5496" w:themeColor="accent1" w:themeShade="BF"/>
          <w:sz w:val="22"/>
          <w:szCs w:val="22"/>
        </w:rPr>
        <w:t>§</w:t>
      </w:r>
      <w:r w:rsidR="00800FAE" w:rsidRPr="00367208">
        <w:rPr>
          <w:rFonts w:cs="Arial"/>
          <w:b/>
          <w:i/>
          <w:iCs/>
          <w:color w:val="2F5496" w:themeColor="accent1" w:themeShade="BF"/>
          <w:sz w:val="22"/>
          <w:szCs w:val="22"/>
        </w:rPr>
        <w:t>Part 5 Action items:</w:t>
      </w:r>
      <w:r w:rsidR="00800FAE" w:rsidRPr="00367208">
        <w:rPr>
          <w:rFonts w:cs="Arial"/>
          <w:b/>
          <w:color w:val="2F5496" w:themeColor="accent1" w:themeShade="BF"/>
          <w:sz w:val="22"/>
          <w:szCs w:val="22"/>
        </w:rPr>
        <w:t xml:space="preserve"> </w:t>
      </w:r>
    </w:p>
    <w:p w14:paraId="1DE755E4" w14:textId="1DD39FB9" w:rsidR="00800FAE" w:rsidRPr="00CB6502" w:rsidRDefault="00800FAE" w:rsidP="00800FAE">
      <w:pPr>
        <w:rPr>
          <w:rFonts w:cs="Times New Roman"/>
          <w:color w:val="2F5496" w:themeColor="accent1" w:themeShade="BF"/>
          <w:sz w:val="22"/>
          <w:szCs w:val="22"/>
        </w:rPr>
      </w:pPr>
      <w:r w:rsidRPr="00CB6502">
        <w:rPr>
          <w:rFonts w:cs="Arial"/>
          <w:color w:val="2F5496" w:themeColor="accent1" w:themeShade="BF"/>
          <w:sz w:val="22"/>
          <w:szCs w:val="22"/>
        </w:rPr>
        <w:t>Ongoing on a shared Google Doc!</w:t>
      </w:r>
    </w:p>
    <w:p w14:paraId="128BF29E" w14:textId="77777777" w:rsidR="00800FAE" w:rsidRPr="00CB6502" w:rsidRDefault="00800FAE" w:rsidP="0046346D">
      <w:pPr>
        <w:rPr>
          <w:rFonts w:cs="Times New Roman"/>
          <w:color w:val="2F5496" w:themeColor="accent1" w:themeShade="BF"/>
          <w:sz w:val="22"/>
          <w:szCs w:val="22"/>
        </w:rPr>
      </w:pPr>
    </w:p>
    <w:p w14:paraId="3CC7BBB5" w14:textId="77777777" w:rsidR="0046346D" w:rsidRPr="004C4687" w:rsidRDefault="0046346D" w:rsidP="0046346D">
      <w:pPr>
        <w:spacing w:line="253" w:lineRule="atLeast"/>
        <w:rPr>
          <w:rFonts w:eastAsia="Times New Roman" w:cs="Times New Roman"/>
          <w:color w:val="000000"/>
          <w:sz w:val="22"/>
          <w:szCs w:val="22"/>
        </w:rPr>
      </w:pPr>
    </w:p>
    <w:p w14:paraId="5067A7F2" w14:textId="77777777" w:rsidR="003A7A3F" w:rsidRDefault="003A7A3F" w:rsidP="003A7A3F">
      <w:pPr>
        <w:numPr>
          <w:ilvl w:val="1"/>
          <w:numId w:val="2"/>
        </w:numPr>
        <w:spacing w:line="253" w:lineRule="atLeast"/>
        <w:rPr>
          <w:rFonts w:eastAsia="Times New Roman" w:cs="Times New Roman"/>
          <w:color w:val="000000"/>
          <w:sz w:val="22"/>
          <w:szCs w:val="22"/>
        </w:rPr>
      </w:pPr>
      <w:r w:rsidRPr="004C4687">
        <w:rPr>
          <w:rFonts w:eastAsia="Times New Roman" w:cs="Times New Roman"/>
          <w:color w:val="000000"/>
          <w:sz w:val="22"/>
          <w:szCs w:val="22"/>
        </w:rPr>
        <w:t>Description of how the planned activities will lead to a credible model</w:t>
      </w:r>
    </w:p>
    <w:p w14:paraId="55B0669A" w14:textId="77777777" w:rsidR="00670F26" w:rsidRDefault="00670F26" w:rsidP="00670F26">
      <w:pPr>
        <w:spacing w:line="253" w:lineRule="atLeast"/>
        <w:ind w:left="1440"/>
        <w:rPr>
          <w:rFonts w:eastAsia="Times New Roman" w:cs="Times New Roman"/>
          <w:color w:val="000000"/>
          <w:sz w:val="22"/>
          <w:szCs w:val="22"/>
        </w:rPr>
      </w:pPr>
    </w:p>
    <w:p w14:paraId="1BA4B48B" w14:textId="77777777" w:rsidR="003B4452" w:rsidRDefault="005E2CAD" w:rsidP="00670F26">
      <w:pPr>
        <w:spacing w:line="253" w:lineRule="atLeast"/>
        <w:ind w:left="1440"/>
        <w:rPr>
          <w:rFonts w:eastAsia="Times New Roman" w:cs="Times New Roman"/>
          <w:color w:val="2F5496" w:themeColor="accent1" w:themeShade="BF"/>
          <w:sz w:val="22"/>
          <w:szCs w:val="22"/>
        </w:rPr>
      </w:pPr>
      <w:r w:rsidRPr="005E2CAD">
        <w:rPr>
          <w:rFonts w:eastAsia="Times New Roman" w:cs="Times New Roman"/>
          <w:color w:val="2F5496" w:themeColor="accent1" w:themeShade="BF"/>
          <w:sz w:val="22"/>
          <w:szCs w:val="22"/>
        </w:rPr>
        <w:t xml:space="preserve">These activities will </w:t>
      </w:r>
      <w:r w:rsidR="003A3162">
        <w:rPr>
          <w:rFonts w:eastAsia="Times New Roman" w:cs="Times New Roman"/>
          <w:color w:val="2F5496" w:themeColor="accent1" w:themeShade="BF"/>
          <w:sz w:val="22"/>
          <w:szCs w:val="22"/>
        </w:rPr>
        <w:t xml:space="preserve">lead to the generation and more effective dissemination of </w:t>
      </w:r>
      <w:r>
        <w:rPr>
          <w:rFonts w:eastAsia="Times New Roman" w:cs="Times New Roman"/>
          <w:color w:val="2F5496" w:themeColor="accent1" w:themeShade="BF"/>
          <w:sz w:val="22"/>
          <w:szCs w:val="22"/>
        </w:rPr>
        <w:t>more credible model</w:t>
      </w:r>
      <w:r w:rsidR="003A3162">
        <w:rPr>
          <w:rFonts w:eastAsia="Times New Roman" w:cs="Times New Roman"/>
          <w:color w:val="2F5496" w:themeColor="accent1" w:themeShade="BF"/>
          <w:sz w:val="22"/>
          <w:szCs w:val="22"/>
        </w:rPr>
        <w:t>s</w:t>
      </w:r>
      <w:r>
        <w:rPr>
          <w:rFonts w:eastAsia="Times New Roman" w:cs="Times New Roman"/>
          <w:color w:val="2F5496" w:themeColor="accent1" w:themeShade="BF"/>
          <w:sz w:val="22"/>
          <w:szCs w:val="22"/>
        </w:rPr>
        <w:t xml:space="preserve"> because</w:t>
      </w:r>
      <w:r w:rsidR="003B4452">
        <w:rPr>
          <w:rFonts w:eastAsia="Times New Roman" w:cs="Times New Roman"/>
          <w:color w:val="2F5496" w:themeColor="accent1" w:themeShade="BF"/>
          <w:sz w:val="22"/>
          <w:szCs w:val="22"/>
        </w:rPr>
        <w:t xml:space="preserve"> of the following reasons:</w:t>
      </w:r>
    </w:p>
    <w:p w14:paraId="2E284D90" w14:textId="7546C135" w:rsidR="005E2CAD" w:rsidRDefault="003B4452" w:rsidP="0011512E">
      <w:pPr>
        <w:pStyle w:val="ListParagraph"/>
        <w:numPr>
          <w:ilvl w:val="0"/>
          <w:numId w:val="4"/>
        </w:numPr>
        <w:spacing w:line="253" w:lineRule="atLeast"/>
        <w:ind w:left="2430" w:hanging="63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K</w:t>
      </w:r>
      <w:r w:rsidR="002B04E5" w:rsidRPr="003B4452">
        <w:rPr>
          <w:rFonts w:eastAsia="Times New Roman" w:cs="Times New Roman"/>
          <w:color w:val="2F5496" w:themeColor="accent1" w:themeShade="BF"/>
          <w:sz w:val="22"/>
          <w:szCs w:val="22"/>
        </w:rPr>
        <w:t>ey decisions underpinning the model design</w:t>
      </w:r>
      <w:r w:rsidR="00576C8F">
        <w:rPr>
          <w:rFonts w:eastAsia="Times New Roman" w:cs="Times New Roman"/>
          <w:color w:val="2F5496" w:themeColor="accent1" w:themeShade="BF"/>
          <w:sz w:val="22"/>
          <w:szCs w:val="22"/>
        </w:rPr>
        <w:t>, including the use of data and the representation of the biological system (ie. 2D vs. 3D)</w:t>
      </w:r>
      <w:r w:rsidR="002B04E5" w:rsidRPr="003B4452">
        <w:rPr>
          <w:rFonts w:eastAsia="Times New Roman" w:cs="Times New Roman"/>
          <w:color w:val="2F5496" w:themeColor="accent1" w:themeShade="BF"/>
          <w:sz w:val="22"/>
          <w:szCs w:val="22"/>
        </w:rPr>
        <w:t xml:space="preserve"> </w:t>
      </w:r>
      <w:r w:rsidR="005E2CAD" w:rsidRPr="003B4452">
        <w:rPr>
          <w:rFonts w:eastAsia="Times New Roman" w:cs="Times New Roman"/>
          <w:color w:val="2F5496" w:themeColor="accent1" w:themeShade="BF"/>
          <w:sz w:val="22"/>
          <w:szCs w:val="22"/>
        </w:rPr>
        <w:t xml:space="preserve">will have been more deeply questioned and vetted </w:t>
      </w:r>
      <w:r>
        <w:rPr>
          <w:rFonts w:eastAsia="Times New Roman" w:cs="Times New Roman"/>
          <w:color w:val="2F5496" w:themeColor="accent1" w:themeShade="BF"/>
          <w:sz w:val="22"/>
          <w:szCs w:val="22"/>
        </w:rPr>
        <w:t xml:space="preserve">by getting feedback </w:t>
      </w:r>
      <w:r w:rsidR="005E2CAD" w:rsidRPr="003B4452">
        <w:rPr>
          <w:rFonts w:eastAsia="Times New Roman" w:cs="Times New Roman"/>
          <w:color w:val="2F5496" w:themeColor="accent1" w:themeShade="BF"/>
          <w:sz w:val="22"/>
          <w:szCs w:val="22"/>
        </w:rPr>
        <w:t>during the model building process</w:t>
      </w:r>
      <w:r>
        <w:rPr>
          <w:rFonts w:eastAsia="Times New Roman" w:cs="Times New Roman"/>
          <w:color w:val="2F5496" w:themeColor="accent1" w:themeShade="BF"/>
          <w:sz w:val="22"/>
          <w:szCs w:val="22"/>
        </w:rPr>
        <w:t xml:space="preserve"> from modeling experts outside the field of skeletal muscle disease who have a different perspective due to their biological focus on tuberculosis.</w:t>
      </w:r>
      <w:r w:rsidR="005E2CAD" w:rsidRPr="003B4452">
        <w:rPr>
          <w:rFonts w:eastAsia="Times New Roman" w:cs="Times New Roman"/>
          <w:color w:val="2F5496" w:themeColor="accent1" w:themeShade="BF"/>
          <w:sz w:val="22"/>
          <w:szCs w:val="22"/>
        </w:rPr>
        <w:t xml:space="preserve"> </w:t>
      </w:r>
    </w:p>
    <w:p w14:paraId="36D6F969" w14:textId="3DD2BCE9" w:rsidR="003B4452" w:rsidRDefault="003B4452" w:rsidP="0011512E">
      <w:pPr>
        <w:pStyle w:val="ListParagraph"/>
        <w:numPr>
          <w:ilvl w:val="0"/>
          <w:numId w:val="4"/>
        </w:numPr>
        <w:spacing w:line="253" w:lineRule="atLeast"/>
        <w:ind w:left="2430" w:hanging="63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lastRenderedPageBreak/>
        <w:t>The models we develop will be more usable by a broader audience because users who are not familiar with our model software will have a chance to test-drive our models and provide their suggestions for enhancing usability.</w:t>
      </w:r>
    </w:p>
    <w:p w14:paraId="75E4414E" w14:textId="580FF33A" w:rsidR="003B4452" w:rsidRPr="003B4452" w:rsidRDefault="004B5992" w:rsidP="0011512E">
      <w:pPr>
        <w:pStyle w:val="ListParagraph"/>
        <w:numPr>
          <w:ilvl w:val="0"/>
          <w:numId w:val="4"/>
        </w:numPr>
        <w:spacing w:line="253" w:lineRule="atLeast"/>
        <w:ind w:left="2430" w:hanging="63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 xml:space="preserve">The models we produce will conform more closely to standards in the field because </w:t>
      </w:r>
      <w:r w:rsidR="00300898">
        <w:rPr>
          <w:rFonts w:eastAsia="Times New Roman" w:cs="Times New Roman"/>
          <w:color w:val="2F5496" w:themeColor="accent1" w:themeShade="BF"/>
          <w:sz w:val="22"/>
          <w:szCs w:val="22"/>
        </w:rPr>
        <w:t xml:space="preserve">by reviewing the models by the </w:t>
      </w:r>
      <w:r w:rsidR="008323D5">
        <w:rPr>
          <w:rFonts w:eastAsia="Times New Roman" w:cs="Times New Roman"/>
          <w:color w:val="2F5496" w:themeColor="accent1" w:themeShade="BF"/>
          <w:sz w:val="22"/>
          <w:szCs w:val="22"/>
        </w:rPr>
        <w:t>Kirschner</w:t>
      </w:r>
      <w:r w:rsidR="00300898">
        <w:rPr>
          <w:rFonts w:eastAsia="Times New Roman" w:cs="Times New Roman"/>
          <w:color w:val="2F5496" w:themeColor="accent1" w:themeShade="BF"/>
          <w:sz w:val="22"/>
          <w:szCs w:val="22"/>
        </w:rPr>
        <w:t xml:space="preserve">/Linderman group, we will learn from their approaches in this regard and be emboldened to emulate and together converge to best practices. </w:t>
      </w:r>
      <w:r>
        <w:rPr>
          <w:rFonts w:eastAsia="Times New Roman" w:cs="Times New Roman"/>
          <w:color w:val="2F5496" w:themeColor="accent1" w:themeShade="BF"/>
          <w:sz w:val="22"/>
          <w:szCs w:val="22"/>
        </w:rPr>
        <w:t xml:space="preserve"> </w:t>
      </w:r>
    </w:p>
    <w:p w14:paraId="6B5D1555" w14:textId="77777777" w:rsidR="00670F26" w:rsidRPr="004C4687" w:rsidRDefault="00670F26" w:rsidP="00670F26">
      <w:pPr>
        <w:spacing w:line="253" w:lineRule="atLeast"/>
        <w:ind w:left="1440"/>
        <w:rPr>
          <w:rFonts w:eastAsia="Times New Roman" w:cs="Times New Roman"/>
          <w:color w:val="000000"/>
          <w:sz w:val="22"/>
          <w:szCs w:val="22"/>
        </w:rPr>
      </w:pPr>
    </w:p>
    <w:p w14:paraId="33A2D39E" w14:textId="77777777" w:rsidR="003A7A3F" w:rsidRPr="004C4687" w:rsidRDefault="003A7A3F" w:rsidP="003A7A3F">
      <w:pPr>
        <w:numPr>
          <w:ilvl w:val="1"/>
          <w:numId w:val="2"/>
        </w:numPr>
        <w:spacing w:line="253" w:lineRule="atLeast"/>
        <w:rPr>
          <w:rFonts w:eastAsia="Times New Roman" w:cs="Times New Roman"/>
          <w:color w:val="000000"/>
          <w:sz w:val="22"/>
          <w:szCs w:val="22"/>
        </w:rPr>
      </w:pPr>
      <w:r w:rsidRPr="004C4687">
        <w:rPr>
          <w:rFonts w:eastAsia="Times New Roman" w:cs="Times New Roman"/>
          <w:color w:val="000000"/>
          <w:sz w:val="22"/>
          <w:szCs w:val="22"/>
        </w:rPr>
        <w:t>Progress to-date and plans for the next reporting cycle (6 months). What has been achieved since last reporting?</w:t>
      </w:r>
    </w:p>
    <w:p w14:paraId="089D3309" w14:textId="77777777" w:rsidR="00615CD5" w:rsidRDefault="00615CD5" w:rsidP="00615CD5">
      <w:pPr>
        <w:spacing w:line="253" w:lineRule="atLeast"/>
        <w:ind w:left="1440"/>
        <w:rPr>
          <w:rFonts w:eastAsia="Times New Roman" w:cs="Times New Roman"/>
          <w:color w:val="000000"/>
          <w:sz w:val="22"/>
          <w:szCs w:val="22"/>
        </w:rPr>
      </w:pPr>
    </w:p>
    <w:p w14:paraId="53B4D406" w14:textId="474BD8EA" w:rsidR="00824828" w:rsidRDefault="00824828" w:rsidP="00615CD5">
      <w:pPr>
        <w:spacing w:line="253" w:lineRule="atLeast"/>
        <w:ind w:left="144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Our progress to date is summarized as follows:</w:t>
      </w:r>
    </w:p>
    <w:p w14:paraId="4B7918F9" w14:textId="5BDBEFC8" w:rsidR="0032128D" w:rsidRDefault="00C22A54" w:rsidP="0011512E">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In April, a g</w:t>
      </w:r>
      <w:r w:rsidR="0032128D">
        <w:rPr>
          <w:rFonts w:eastAsia="Times New Roman" w:cs="Times New Roman"/>
          <w:color w:val="2F5496" w:themeColor="accent1" w:themeShade="BF"/>
          <w:sz w:val="22"/>
          <w:szCs w:val="22"/>
        </w:rPr>
        <w:t>raduate student from the Linderman/</w:t>
      </w:r>
      <w:r w:rsidR="008323D5">
        <w:rPr>
          <w:rFonts w:eastAsia="Times New Roman" w:cs="Times New Roman"/>
          <w:color w:val="2F5496" w:themeColor="accent1" w:themeShade="BF"/>
          <w:sz w:val="22"/>
          <w:szCs w:val="22"/>
        </w:rPr>
        <w:t>Kirschner</w:t>
      </w:r>
      <w:r w:rsidR="0032128D">
        <w:rPr>
          <w:rFonts w:eastAsia="Times New Roman" w:cs="Times New Roman"/>
          <w:color w:val="2F5496" w:themeColor="accent1" w:themeShade="BF"/>
          <w:sz w:val="22"/>
          <w:szCs w:val="22"/>
        </w:rPr>
        <w:t xml:space="preserve"> lab groups presented his model to the Peirce-Cottler/Blemker lab groups in a lab meeting-style teleconference, which familiarized the Peirce-Cottler/Blemker lab groups with both the biology and the model. </w:t>
      </w:r>
    </w:p>
    <w:p w14:paraId="50EDA125" w14:textId="270CB304" w:rsidR="00824828" w:rsidRDefault="000908D5" w:rsidP="0011512E">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Peirce-Cottler/Blemker labs downloaded and ran Linderman/</w:t>
      </w:r>
      <w:r w:rsidR="008323D5">
        <w:rPr>
          <w:rFonts w:eastAsia="Times New Roman" w:cs="Times New Roman"/>
          <w:color w:val="2F5496" w:themeColor="accent1" w:themeShade="BF"/>
          <w:sz w:val="22"/>
          <w:szCs w:val="22"/>
        </w:rPr>
        <w:t>Kirschner</w:t>
      </w:r>
      <w:r>
        <w:rPr>
          <w:rFonts w:eastAsia="Times New Roman" w:cs="Times New Roman"/>
          <w:color w:val="2F5496" w:themeColor="accent1" w:themeShade="BF"/>
          <w:sz w:val="22"/>
          <w:szCs w:val="22"/>
        </w:rPr>
        <w:t xml:space="preserve"> models and provided feedback via shared Google doc.</w:t>
      </w:r>
    </w:p>
    <w:p w14:paraId="45851377" w14:textId="7FB45463" w:rsidR="000908D5" w:rsidRPr="000908D5" w:rsidRDefault="008323D5" w:rsidP="0011512E">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Pr>
          <w:rFonts w:cs="Arial"/>
          <w:color w:val="2F5496" w:themeColor="accent1" w:themeShade="BF"/>
          <w:sz w:val="22"/>
          <w:szCs w:val="22"/>
        </w:rPr>
        <w:t>Kirschner</w:t>
      </w:r>
      <w:r w:rsidR="000908D5" w:rsidRPr="00CB6502">
        <w:rPr>
          <w:rFonts w:cs="Arial"/>
          <w:color w:val="2F5496" w:themeColor="accent1" w:themeShade="BF"/>
          <w:sz w:val="22"/>
          <w:szCs w:val="22"/>
        </w:rPr>
        <w:t xml:space="preserve"> and Linderman </w:t>
      </w:r>
      <w:r w:rsidR="000908D5">
        <w:rPr>
          <w:rFonts w:cs="Arial"/>
          <w:color w:val="2F5496" w:themeColor="accent1" w:themeShade="BF"/>
          <w:sz w:val="22"/>
          <w:szCs w:val="22"/>
        </w:rPr>
        <w:t>drafted a paper</w:t>
      </w:r>
      <w:r w:rsidR="000908D5" w:rsidRPr="00CB6502">
        <w:rPr>
          <w:rFonts w:cs="Arial"/>
          <w:color w:val="2F5496" w:themeColor="accent1" w:themeShade="BF"/>
          <w:sz w:val="22"/>
          <w:szCs w:val="22"/>
        </w:rPr>
        <w:t xml:space="preserve"> for the </w:t>
      </w:r>
      <w:r w:rsidR="000908D5" w:rsidRPr="00CB6502">
        <w:rPr>
          <w:rFonts w:cs="Arial"/>
          <w:color w:val="2F5496" w:themeColor="accent1" w:themeShade="BF"/>
          <w:sz w:val="22"/>
          <w:szCs w:val="22"/>
          <w:u w:val="single"/>
        </w:rPr>
        <w:t>Bulletin of Mathematical Biology</w:t>
      </w:r>
      <w:r w:rsidR="000908D5" w:rsidRPr="00CB6502">
        <w:rPr>
          <w:rFonts w:cs="Arial"/>
          <w:color w:val="2F5496" w:themeColor="accent1" w:themeShade="BF"/>
          <w:sz w:val="22"/>
          <w:szCs w:val="22"/>
        </w:rPr>
        <w:t xml:space="preserve"> on the topic of a method for converting 2D to 3D model representations</w:t>
      </w:r>
      <w:r w:rsidR="000908D5">
        <w:rPr>
          <w:rFonts w:cs="Arial"/>
          <w:color w:val="2F5496" w:themeColor="accent1" w:themeShade="BF"/>
          <w:sz w:val="22"/>
          <w:szCs w:val="22"/>
        </w:rPr>
        <w:t>, which will be shared with Blemker and Peirce-Cottler for their input</w:t>
      </w:r>
    </w:p>
    <w:p w14:paraId="64618467" w14:textId="27128671" w:rsidR="000908D5" w:rsidRDefault="000908D5" w:rsidP="0011512E">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sidRPr="00CB6502">
        <w:rPr>
          <w:rFonts w:cs="Arial"/>
          <w:color w:val="2F5496" w:themeColor="accent1" w:themeShade="BF"/>
          <w:sz w:val="22"/>
          <w:szCs w:val="22"/>
        </w:rPr>
        <w:t>Blemker/Peirce-</w:t>
      </w:r>
      <w:proofErr w:type="spellStart"/>
      <w:r w:rsidRPr="00CB6502">
        <w:rPr>
          <w:rFonts w:cs="Arial"/>
          <w:color w:val="2F5496" w:themeColor="accent1" w:themeShade="BF"/>
          <w:sz w:val="22"/>
          <w:szCs w:val="22"/>
        </w:rPr>
        <w:t>Cottler</w:t>
      </w:r>
      <w:proofErr w:type="spellEnd"/>
      <w:r w:rsidRPr="00CB6502">
        <w:rPr>
          <w:rFonts w:cs="Arial"/>
          <w:color w:val="2F5496" w:themeColor="accent1" w:themeShade="BF"/>
          <w:sz w:val="22"/>
          <w:szCs w:val="22"/>
        </w:rPr>
        <w:t xml:space="preserve"> and Linderman/</w:t>
      </w:r>
      <w:r w:rsidR="008323D5">
        <w:rPr>
          <w:rFonts w:cs="Arial"/>
          <w:color w:val="2F5496" w:themeColor="accent1" w:themeShade="BF"/>
          <w:sz w:val="22"/>
          <w:szCs w:val="22"/>
        </w:rPr>
        <w:t>Kirschner</w:t>
      </w:r>
      <w:r w:rsidRPr="00CB6502">
        <w:rPr>
          <w:rFonts w:cs="Arial"/>
          <w:color w:val="2F5496" w:themeColor="accent1" w:themeShade="BF"/>
          <w:sz w:val="22"/>
          <w:szCs w:val="22"/>
        </w:rPr>
        <w:t xml:space="preserve"> </w:t>
      </w:r>
      <w:r>
        <w:rPr>
          <w:rFonts w:cs="Arial"/>
          <w:color w:val="2F5496" w:themeColor="accent1" w:themeShade="BF"/>
          <w:sz w:val="22"/>
          <w:szCs w:val="22"/>
        </w:rPr>
        <w:t xml:space="preserve">labs collaborated to implement and post a </w:t>
      </w:r>
      <w:r w:rsidRPr="00CB6502">
        <w:rPr>
          <w:rFonts w:cs="Arial"/>
          <w:color w:val="2F5496" w:themeColor="accent1" w:themeShade="BF"/>
          <w:sz w:val="22"/>
          <w:szCs w:val="22"/>
        </w:rPr>
        <w:t>best practices document for version control and model documentation</w:t>
      </w:r>
      <w:r>
        <w:rPr>
          <w:rFonts w:cs="Arial"/>
          <w:color w:val="2F5496" w:themeColor="accent1" w:themeShade="BF"/>
          <w:sz w:val="22"/>
          <w:szCs w:val="22"/>
        </w:rPr>
        <w:t xml:space="preserve"> on the IMAG Wiki</w:t>
      </w:r>
    </w:p>
    <w:p w14:paraId="7D9398F0" w14:textId="30D0637A" w:rsidR="000908D5" w:rsidRPr="00824828" w:rsidRDefault="000908D5" w:rsidP="0011512E">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All meetings and interactions were journaled on the Google doc</w:t>
      </w:r>
    </w:p>
    <w:p w14:paraId="43CD65FE" w14:textId="77777777" w:rsidR="00824828" w:rsidRDefault="00824828" w:rsidP="00615CD5">
      <w:pPr>
        <w:spacing w:line="253" w:lineRule="atLeast"/>
        <w:ind w:left="1440"/>
        <w:rPr>
          <w:rFonts w:eastAsia="Times New Roman" w:cs="Times New Roman"/>
          <w:color w:val="2F5496" w:themeColor="accent1" w:themeShade="BF"/>
          <w:sz w:val="22"/>
          <w:szCs w:val="22"/>
        </w:rPr>
      </w:pPr>
    </w:p>
    <w:p w14:paraId="39CEAB13" w14:textId="4DC9DA5B" w:rsidR="00824828" w:rsidRDefault="00824828" w:rsidP="00615CD5">
      <w:pPr>
        <w:spacing w:line="253" w:lineRule="atLeast"/>
        <w:ind w:left="144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Our plans for the next reporting cycle include:</w:t>
      </w:r>
    </w:p>
    <w:p w14:paraId="5364197E" w14:textId="36655A88" w:rsidR="00A72AF8" w:rsidRDefault="00A72AF8" w:rsidP="00A72AF8">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Linderman/</w:t>
      </w:r>
      <w:r w:rsidR="008323D5">
        <w:rPr>
          <w:rFonts w:eastAsia="Times New Roman" w:cs="Times New Roman"/>
          <w:color w:val="2F5496" w:themeColor="accent1" w:themeShade="BF"/>
          <w:sz w:val="22"/>
          <w:szCs w:val="22"/>
        </w:rPr>
        <w:t>Kirschner</w:t>
      </w:r>
      <w:r>
        <w:rPr>
          <w:rFonts w:eastAsia="Times New Roman" w:cs="Times New Roman"/>
          <w:color w:val="2F5496" w:themeColor="accent1" w:themeShade="BF"/>
          <w:sz w:val="22"/>
          <w:szCs w:val="22"/>
        </w:rPr>
        <w:t xml:space="preserve"> labs will downloaded and run </w:t>
      </w:r>
      <w:r w:rsidR="00A13ECC">
        <w:rPr>
          <w:rFonts w:eastAsia="Times New Roman" w:cs="Times New Roman"/>
          <w:color w:val="2F5496" w:themeColor="accent1" w:themeShade="BF"/>
          <w:sz w:val="22"/>
          <w:szCs w:val="22"/>
        </w:rPr>
        <w:t xml:space="preserve">the </w:t>
      </w:r>
      <w:r>
        <w:rPr>
          <w:rFonts w:eastAsia="Times New Roman" w:cs="Times New Roman"/>
          <w:color w:val="2F5496" w:themeColor="accent1" w:themeShade="BF"/>
          <w:sz w:val="22"/>
          <w:szCs w:val="22"/>
        </w:rPr>
        <w:t xml:space="preserve">Blemker/Peirce-Cottler models </w:t>
      </w:r>
      <w:r w:rsidR="00A13ECC">
        <w:rPr>
          <w:rFonts w:eastAsia="Times New Roman" w:cs="Times New Roman"/>
          <w:color w:val="2F5496" w:themeColor="accent1" w:themeShade="BF"/>
          <w:sz w:val="22"/>
          <w:szCs w:val="22"/>
        </w:rPr>
        <w:t>which are posted on</w:t>
      </w:r>
      <w:r w:rsidR="00077902">
        <w:rPr>
          <w:rFonts w:eastAsia="Times New Roman" w:cs="Times New Roman"/>
          <w:color w:val="2F5496" w:themeColor="accent1" w:themeShade="BF"/>
          <w:sz w:val="22"/>
          <w:szCs w:val="22"/>
        </w:rPr>
        <w:t xml:space="preserve"> </w:t>
      </w:r>
      <w:proofErr w:type="spellStart"/>
      <w:r w:rsidR="00077902">
        <w:rPr>
          <w:rFonts w:eastAsia="Times New Roman" w:cs="Times New Roman"/>
          <w:color w:val="2F5496" w:themeColor="accent1" w:themeShade="BF"/>
          <w:sz w:val="22"/>
          <w:szCs w:val="22"/>
        </w:rPr>
        <w:t>SimTK</w:t>
      </w:r>
      <w:proofErr w:type="spellEnd"/>
      <w:r w:rsidR="00077902">
        <w:rPr>
          <w:rFonts w:eastAsia="Times New Roman" w:cs="Times New Roman"/>
          <w:color w:val="2F5496" w:themeColor="accent1" w:themeShade="BF"/>
          <w:sz w:val="22"/>
          <w:szCs w:val="22"/>
        </w:rPr>
        <w:t xml:space="preserve">, </w:t>
      </w:r>
      <w:r>
        <w:rPr>
          <w:rFonts w:eastAsia="Times New Roman" w:cs="Times New Roman"/>
          <w:color w:val="2F5496" w:themeColor="accent1" w:themeShade="BF"/>
          <w:sz w:val="22"/>
          <w:szCs w:val="22"/>
        </w:rPr>
        <w:t xml:space="preserve">and </w:t>
      </w:r>
      <w:r w:rsidR="00A13ECC">
        <w:rPr>
          <w:rFonts w:eastAsia="Times New Roman" w:cs="Times New Roman"/>
          <w:color w:val="2F5496" w:themeColor="accent1" w:themeShade="BF"/>
          <w:sz w:val="22"/>
          <w:szCs w:val="22"/>
        </w:rPr>
        <w:t>Linderman/</w:t>
      </w:r>
      <w:r w:rsidR="008323D5">
        <w:rPr>
          <w:rFonts w:eastAsia="Times New Roman" w:cs="Times New Roman"/>
          <w:color w:val="2F5496" w:themeColor="accent1" w:themeShade="BF"/>
          <w:sz w:val="22"/>
          <w:szCs w:val="22"/>
        </w:rPr>
        <w:t>Kirschner</w:t>
      </w:r>
      <w:r w:rsidR="00A13ECC">
        <w:rPr>
          <w:rFonts w:eastAsia="Times New Roman" w:cs="Times New Roman"/>
          <w:color w:val="2F5496" w:themeColor="accent1" w:themeShade="BF"/>
          <w:sz w:val="22"/>
          <w:szCs w:val="22"/>
        </w:rPr>
        <w:t xml:space="preserve"> labs will provide</w:t>
      </w:r>
      <w:r>
        <w:rPr>
          <w:rFonts w:eastAsia="Times New Roman" w:cs="Times New Roman"/>
          <w:color w:val="2F5496" w:themeColor="accent1" w:themeShade="BF"/>
          <w:sz w:val="22"/>
          <w:szCs w:val="22"/>
        </w:rPr>
        <w:t xml:space="preserve"> feedback </w:t>
      </w:r>
      <w:r w:rsidR="00077902">
        <w:rPr>
          <w:rFonts w:eastAsia="Times New Roman" w:cs="Times New Roman"/>
          <w:color w:val="2F5496" w:themeColor="accent1" w:themeShade="BF"/>
          <w:sz w:val="22"/>
          <w:szCs w:val="22"/>
        </w:rPr>
        <w:t xml:space="preserve">to the Blemker/Peirce-Cottler labs </w:t>
      </w:r>
      <w:r>
        <w:rPr>
          <w:rFonts w:eastAsia="Times New Roman" w:cs="Times New Roman"/>
          <w:color w:val="2F5496" w:themeColor="accent1" w:themeShade="BF"/>
          <w:sz w:val="22"/>
          <w:szCs w:val="22"/>
        </w:rPr>
        <w:t xml:space="preserve">via </w:t>
      </w:r>
      <w:r w:rsidR="00A13ECC">
        <w:rPr>
          <w:rFonts w:eastAsia="Times New Roman" w:cs="Times New Roman"/>
          <w:color w:val="2F5496" w:themeColor="accent1" w:themeShade="BF"/>
          <w:sz w:val="22"/>
          <w:szCs w:val="22"/>
        </w:rPr>
        <w:t xml:space="preserve">our </w:t>
      </w:r>
      <w:r>
        <w:rPr>
          <w:rFonts w:eastAsia="Times New Roman" w:cs="Times New Roman"/>
          <w:color w:val="2F5496" w:themeColor="accent1" w:themeShade="BF"/>
          <w:sz w:val="22"/>
          <w:szCs w:val="22"/>
        </w:rPr>
        <w:t>shared Google doc.</w:t>
      </w:r>
    </w:p>
    <w:p w14:paraId="5EBFA74D" w14:textId="15186E3E" w:rsidR="00163201" w:rsidRPr="00163201" w:rsidRDefault="00A72AF8" w:rsidP="00163201">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Pr>
          <w:rFonts w:cs="Arial"/>
          <w:color w:val="2F5496" w:themeColor="accent1" w:themeShade="BF"/>
          <w:sz w:val="22"/>
          <w:szCs w:val="22"/>
        </w:rPr>
        <w:t>Blemker and Peirce-Cottler will read</w:t>
      </w:r>
      <w:r w:rsidR="00077902">
        <w:rPr>
          <w:rFonts w:cs="Arial"/>
          <w:color w:val="2F5496" w:themeColor="accent1" w:themeShade="BF"/>
          <w:sz w:val="22"/>
          <w:szCs w:val="22"/>
        </w:rPr>
        <w:t>, edit,</w:t>
      </w:r>
      <w:r w:rsidR="00163201">
        <w:rPr>
          <w:rFonts w:cs="Arial"/>
          <w:color w:val="2F5496" w:themeColor="accent1" w:themeShade="BF"/>
          <w:sz w:val="22"/>
          <w:szCs w:val="22"/>
        </w:rPr>
        <w:t xml:space="preserve"> and contribute</w:t>
      </w:r>
      <w:r w:rsidR="00077902">
        <w:rPr>
          <w:rFonts w:cs="Arial"/>
          <w:color w:val="2F5496" w:themeColor="accent1" w:themeShade="BF"/>
          <w:sz w:val="22"/>
          <w:szCs w:val="22"/>
        </w:rPr>
        <w:t xml:space="preserve"> to</w:t>
      </w:r>
      <w:r w:rsidR="00163201">
        <w:rPr>
          <w:rFonts w:cs="Arial"/>
          <w:color w:val="2F5496" w:themeColor="accent1" w:themeShade="BF"/>
          <w:sz w:val="22"/>
          <w:szCs w:val="22"/>
        </w:rPr>
        <w:t xml:space="preserve"> </w:t>
      </w:r>
      <w:r>
        <w:rPr>
          <w:rFonts w:cs="Arial"/>
          <w:color w:val="2F5496" w:themeColor="accent1" w:themeShade="BF"/>
          <w:sz w:val="22"/>
          <w:szCs w:val="22"/>
        </w:rPr>
        <w:t xml:space="preserve">the paper drafted by </w:t>
      </w:r>
      <w:r w:rsidR="008323D5">
        <w:rPr>
          <w:rFonts w:cs="Arial"/>
          <w:color w:val="2F5496" w:themeColor="accent1" w:themeShade="BF"/>
          <w:sz w:val="22"/>
          <w:szCs w:val="22"/>
        </w:rPr>
        <w:t>Kirschner</w:t>
      </w:r>
      <w:r w:rsidRPr="00CB6502">
        <w:rPr>
          <w:rFonts w:cs="Arial"/>
          <w:color w:val="2F5496" w:themeColor="accent1" w:themeShade="BF"/>
          <w:sz w:val="22"/>
          <w:szCs w:val="22"/>
        </w:rPr>
        <w:t xml:space="preserve"> and Linderman for the </w:t>
      </w:r>
      <w:r w:rsidRPr="00CB6502">
        <w:rPr>
          <w:rFonts w:cs="Arial"/>
          <w:color w:val="2F5496" w:themeColor="accent1" w:themeShade="BF"/>
          <w:sz w:val="22"/>
          <w:szCs w:val="22"/>
          <w:u w:val="single"/>
        </w:rPr>
        <w:t>Bulletin of Mathematical Biology</w:t>
      </w:r>
      <w:r w:rsidR="007A58FE" w:rsidRPr="007A58FE">
        <w:rPr>
          <w:rFonts w:cs="Arial"/>
          <w:color w:val="2F5496" w:themeColor="accent1" w:themeShade="BF"/>
          <w:sz w:val="22"/>
          <w:szCs w:val="22"/>
        </w:rPr>
        <w:t>, and this manuscript will be submitted</w:t>
      </w:r>
    </w:p>
    <w:p w14:paraId="44DD1A4A" w14:textId="329EC7B2" w:rsidR="00163201" w:rsidRPr="00D319FD" w:rsidRDefault="00163201" w:rsidP="00D319FD">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sidRPr="00163201">
        <w:rPr>
          <w:rFonts w:cs="Arial"/>
          <w:color w:val="2F5496" w:themeColor="accent1" w:themeShade="BF"/>
          <w:sz w:val="22"/>
          <w:szCs w:val="22"/>
        </w:rPr>
        <w:t>Blemker/Peirce-</w:t>
      </w:r>
      <w:proofErr w:type="spellStart"/>
      <w:r w:rsidRPr="00163201">
        <w:rPr>
          <w:rFonts w:cs="Arial"/>
          <w:color w:val="2F5496" w:themeColor="accent1" w:themeShade="BF"/>
          <w:sz w:val="22"/>
          <w:szCs w:val="22"/>
        </w:rPr>
        <w:t>Cottler</w:t>
      </w:r>
      <w:proofErr w:type="spellEnd"/>
      <w:r w:rsidRPr="00163201">
        <w:rPr>
          <w:rFonts w:cs="Arial"/>
          <w:color w:val="2F5496" w:themeColor="accent1" w:themeShade="BF"/>
          <w:sz w:val="22"/>
          <w:szCs w:val="22"/>
        </w:rPr>
        <w:t xml:space="preserve"> and Linderman/</w:t>
      </w:r>
      <w:r w:rsidR="008323D5">
        <w:rPr>
          <w:rFonts w:cs="Arial"/>
          <w:color w:val="2F5496" w:themeColor="accent1" w:themeShade="BF"/>
          <w:sz w:val="22"/>
          <w:szCs w:val="22"/>
        </w:rPr>
        <w:t>Kirschner</w:t>
      </w:r>
      <w:r w:rsidRPr="00163201">
        <w:rPr>
          <w:rFonts w:cs="Arial"/>
          <w:color w:val="2F5496" w:themeColor="accent1" w:themeShade="BF"/>
          <w:sz w:val="22"/>
          <w:szCs w:val="22"/>
        </w:rPr>
        <w:t xml:space="preserve"> will share “near-final” drafts of </w:t>
      </w:r>
      <w:r>
        <w:rPr>
          <w:rFonts w:cs="Arial"/>
          <w:color w:val="2F5496" w:themeColor="accent1" w:themeShade="BF"/>
          <w:sz w:val="22"/>
          <w:szCs w:val="22"/>
        </w:rPr>
        <w:t xml:space="preserve">their </w:t>
      </w:r>
      <w:r w:rsidRPr="00163201">
        <w:rPr>
          <w:rFonts w:cs="Arial"/>
          <w:color w:val="2F5496" w:themeColor="accent1" w:themeShade="BF"/>
          <w:sz w:val="22"/>
          <w:szCs w:val="22"/>
        </w:rPr>
        <w:t xml:space="preserve">papers for feedback from each other’s lab groups, and the feedback provided will focus on how well the model is described (reproducibility) and conforms to standards. In the near term (within the next two months), Blemker and Peirce-Cottler will send </w:t>
      </w:r>
      <w:r>
        <w:rPr>
          <w:rFonts w:cs="Arial"/>
          <w:color w:val="2F5496" w:themeColor="accent1" w:themeShade="BF"/>
          <w:sz w:val="22"/>
          <w:szCs w:val="22"/>
        </w:rPr>
        <w:t xml:space="preserve">two papers to </w:t>
      </w:r>
      <w:r w:rsidRPr="00163201">
        <w:rPr>
          <w:rFonts w:cs="Arial"/>
          <w:color w:val="2F5496" w:themeColor="accent1" w:themeShade="BF"/>
          <w:sz w:val="22"/>
          <w:szCs w:val="22"/>
        </w:rPr>
        <w:t xml:space="preserve">Linderman and </w:t>
      </w:r>
      <w:r w:rsidR="008323D5">
        <w:rPr>
          <w:rFonts w:cs="Arial"/>
          <w:color w:val="2F5496" w:themeColor="accent1" w:themeShade="BF"/>
          <w:sz w:val="22"/>
          <w:szCs w:val="22"/>
        </w:rPr>
        <w:t>Kirschner</w:t>
      </w:r>
      <w:r w:rsidRPr="00163201">
        <w:rPr>
          <w:rFonts w:cs="Arial"/>
          <w:color w:val="2F5496" w:themeColor="accent1" w:themeShade="BF"/>
          <w:sz w:val="22"/>
          <w:szCs w:val="22"/>
        </w:rPr>
        <w:t xml:space="preserve"> for feedback</w:t>
      </w:r>
      <w:r>
        <w:rPr>
          <w:rFonts w:cs="Arial"/>
          <w:color w:val="2F5496" w:themeColor="accent1" w:themeShade="BF"/>
          <w:sz w:val="22"/>
          <w:szCs w:val="22"/>
        </w:rPr>
        <w:t xml:space="preserve"> (including papers by first author </w:t>
      </w:r>
      <w:r w:rsidRPr="00163201">
        <w:rPr>
          <w:rFonts w:cs="Arial"/>
          <w:color w:val="2F5496" w:themeColor="accent1" w:themeShade="BF"/>
          <w:sz w:val="22"/>
          <w:szCs w:val="22"/>
        </w:rPr>
        <w:t xml:space="preserve">Kelley Virgilio’s </w:t>
      </w:r>
      <w:r>
        <w:rPr>
          <w:rFonts w:cs="Arial"/>
          <w:color w:val="2F5496" w:themeColor="accent1" w:themeShade="BF"/>
          <w:sz w:val="22"/>
          <w:szCs w:val="22"/>
        </w:rPr>
        <w:t xml:space="preserve">and by first-author </w:t>
      </w:r>
      <w:r w:rsidRPr="00163201">
        <w:rPr>
          <w:rFonts w:cs="Arial"/>
          <w:color w:val="2F5496" w:themeColor="accent1" w:themeShade="BF"/>
          <w:sz w:val="22"/>
          <w:szCs w:val="22"/>
        </w:rPr>
        <w:t xml:space="preserve">Michaela </w:t>
      </w:r>
      <w:r>
        <w:rPr>
          <w:rFonts w:cs="Arial"/>
          <w:color w:val="2F5496" w:themeColor="accent1" w:themeShade="BF"/>
          <w:sz w:val="22"/>
          <w:szCs w:val="22"/>
        </w:rPr>
        <w:t xml:space="preserve">Rikard). </w:t>
      </w:r>
    </w:p>
    <w:p w14:paraId="3753561C" w14:textId="21D89BE3" w:rsidR="00A72AF8" w:rsidRPr="00824828" w:rsidRDefault="00A72AF8" w:rsidP="00A72AF8">
      <w:pPr>
        <w:pStyle w:val="ListParagraph"/>
        <w:numPr>
          <w:ilvl w:val="0"/>
          <w:numId w:val="5"/>
        </w:numPr>
        <w:spacing w:line="253" w:lineRule="atLeast"/>
        <w:ind w:left="2430" w:hanging="630"/>
        <w:rPr>
          <w:rFonts w:eastAsia="Times New Roman" w:cs="Times New Roman"/>
          <w:color w:val="2F5496" w:themeColor="accent1" w:themeShade="BF"/>
          <w:sz w:val="22"/>
          <w:szCs w:val="22"/>
        </w:rPr>
      </w:pPr>
      <w:r>
        <w:rPr>
          <w:rFonts w:eastAsia="Times New Roman" w:cs="Times New Roman"/>
          <w:color w:val="2F5496" w:themeColor="accent1" w:themeShade="BF"/>
          <w:sz w:val="22"/>
          <w:szCs w:val="22"/>
        </w:rPr>
        <w:t xml:space="preserve">All meetings and interactions </w:t>
      </w:r>
      <w:r w:rsidR="001F7BC8">
        <w:rPr>
          <w:rFonts w:eastAsia="Times New Roman" w:cs="Times New Roman"/>
          <w:color w:val="2F5496" w:themeColor="accent1" w:themeShade="BF"/>
          <w:sz w:val="22"/>
          <w:szCs w:val="22"/>
        </w:rPr>
        <w:t>will continue to be</w:t>
      </w:r>
      <w:r>
        <w:rPr>
          <w:rFonts w:eastAsia="Times New Roman" w:cs="Times New Roman"/>
          <w:color w:val="2F5496" w:themeColor="accent1" w:themeShade="BF"/>
          <w:sz w:val="22"/>
          <w:szCs w:val="22"/>
        </w:rPr>
        <w:t xml:space="preserve"> journaled on the Google doc</w:t>
      </w:r>
    </w:p>
    <w:p w14:paraId="4885BDA9" w14:textId="53CAA65B" w:rsidR="00824828" w:rsidRPr="004C4687" w:rsidRDefault="00824828" w:rsidP="00615CD5">
      <w:pPr>
        <w:spacing w:line="253" w:lineRule="atLeast"/>
        <w:ind w:left="1440"/>
        <w:rPr>
          <w:rFonts w:eastAsia="Times New Roman" w:cs="Times New Roman"/>
          <w:color w:val="000000"/>
          <w:sz w:val="22"/>
          <w:szCs w:val="22"/>
        </w:rPr>
      </w:pPr>
    </w:p>
    <w:p w14:paraId="11BBA38F" w14:textId="77777777" w:rsidR="003A7A3F" w:rsidRPr="004C4687" w:rsidRDefault="003A7A3F" w:rsidP="003A7A3F">
      <w:pPr>
        <w:numPr>
          <w:ilvl w:val="0"/>
          <w:numId w:val="3"/>
        </w:numPr>
        <w:spacing w:line="253" w:lineRule="atLeast"/>
        <w:rPr>
          <w:rFonts w:eastAsia="Times New Roman" w:cs="Times New Roman"/>
          <w:color w:val="000000"/>
          <w:sz w:val="22"/>
          <w:szCs w:val="22"/>
        </w:rPr>
      </w:pPr>
      <w:r w:rsidRPr="004C4687">
        <w:rPr>
          <w:rFonts w:eastAsia="Times New Roman" w:cs="Times New Roman"/>
          <w:color w:val="000000"/>
          <w:sz w:val="22"/>
          <w:szCs w:val="22"/>
        </w:rPr>
        <w:t>Issues/concerns identified as critical or problematic to achieve the standard of credibility set by MSM Consortium.</w:t>
      </w:r>
    </w:p>
    <w:p w14:paraId="28279A48" w14:textId="7FA42667" w:rsidR="0032128D" w:rsidRDefault="0032128D" w:rsidP="0032128D">
      <w:pPr>
        <w:spacing w:line="253" w:lineRule="atLeast"/>
        <w:rPr>
          <w:rFonts w:eastAsia="Times New Roman" w:cs="Times New Roman"/>
          <w:color w:val="000000"/>
          <w:sz w:val="22"/>
          <w:szCs w:val="22"/>
        </w:rPr>
      </w:pPr>
    </w:p>
    <w:p w14:paraId="7AB38876" w14:textId="7BC5D9DD" w:rsidR="0032128D" w:rsidRPr="0032128D" w:rsidRDefault="0032128D" w:rsidP="0032128D">
      <w:pPr>
        <w:spacing w:line="253" w:lineRule="atLeast"/>
        <w:ind w:left="1440"/>
        <w:rPr>
          <w:rFonts w:eastAsia="Times New Roman" w:cs="Times New Roman"/>
          <w:color w:val="2F5496" w:themeColor="accent1" w:themeShade="BF"/>
          <w:sz w:val="22"/>
          <w:szCs w:val="22"/>
        </w:rPr>
      </w:pPr>
      <w:r w:rsidRPr="0032128D">
        <w:rPr>
          <w:rFonts w:eastAsia="Times New Roman" w:cs="Times New Roman"/>
          <w:color w:val="2F5496" w:themeColor="accent1" w:themeShade="BF"/>
          <w:sz w:val="22"/>
          <w:szCs w:val="22"/>
        </w:rPr>
        <w:lastRenderedPageBreak/>
        <w:t>We have not experienced any problems carrying out our proposed model credibility plan, however, we would appreciate the opportunity to get feedback on it from the CPMS.</w:t>
      </w:r>
      <w:r>
        <w:rPr>
          <w:rFonts w:eastAsia="Times New Roman" w:cs="Times New Roman"/>
          <w:color w:val="2F5496" w:themeColor="accent1" w:themeShade="BF"/>
          <w:sz w:val="22"/>
          <w:szCs w:val="22"/>
        </w:rPr>
        <w:t xml:space="preserve"> We have carried ou</w:t>
      </w:r>
      <w:r w:rsidR="00FA284D">
        <w:rPr>
          <w:rFonts w:eastAsia="Times New Roman" w:cs="Times New Roman"/>
          <w:color w:val="2F5496" w:themeColor="accent1" w:themeShade="BF"/>
          <w:sz w:val="22"/>
          <w:szCs w:val="22"/>
        </w:rPr>
        <w:t>t all of our discussions using B</w:t>
      </w:r>
      <w:r>
        <w:rPr>
          <w:rFonts w:eastAsia="Times New Roman" w:cs="Times New Roman"/>
          <w:color w:val="2F5496" w:themeColor="accent1" w:themeShade="BF"/>
          <w:sz w:val="22"/>
          <w:szCs w:val="22"/>
        </w:rPr>
        <w:t xml:space="preserve">luejeans video conferencing software, and that seems to </w:t>
      </w:r>
      <w:r w:rsidR="00FA284D">
        <w:rPr>
          <w:rFonts w:eastAsia="Times New Roman" w:cs="Times New Roman"/>
          <w:color w:val="2F5496" w:themeColor="accent1" w:themeShade="BF"/>
          <w:sz w:val="22"/>
          <w:szCs w:val="22"/>
        </w:rPr>
        <w:t>be working well, and we have relied heavily on Google docs and email for written communication and discussion archiving</w:t>
      </w:r>
      <w:r>
        <w:rPr>
          <w:rFonts w:eastAsia="Times New Roman" w:cs="Times New Roman"/>
          <w:color w:val="2F5496" w:themeColor="accent1" w:themeShade="BF"/>
          <w:sz w:val="22"/>
          <w:szCs w:val="22"/>
        </w:rPr>
        <w:t xml:space="preserve">. </w:t>
      </w:r>
      <w:r w:rsidR="0083600A">
        <w:rPr>
          <w:rFonts w:eastAsia="Times New Roman" w:cs="Times New Roman"/>
          <w:color w:val="2F5496" w:themeColor="accent1" w:themeShade="BF"/>
          <w:sz w:val="22"/>
          <w:szCs w:val="22"/>
        </w:rPr>
        <w:t>It would be beneficial to organize a once per year face-to-face visit (beyond meeting at the annual IMAG Meeting).</w:t>
      </w:r>
    </w:p>
    <w:p w14:paraId="1A768D68" w14:textId="77777777" w:rsidR="0032128D" w:rsidRPr="0032128D" w:rsidRDefault="0032128D" w:rsidP="0032128D">
      <w:pPr>
        <w:spacing w:line="253" w:lineRule="atLeast"/>
        <w:ind w:left="1440"/>
        <w:rPr>
          <w:rFonts w:eastAsia="Times New Roman" w:cs="Times New Roman"/>
          <w:color w:val="000000"/>
          <w:sz w:val="22"/>
          <w:szCs w:val="22"/>
        </w:rPr>
      </w:pPr>
    </w:p>
    <w:p w14:paraId="18B9D7C5" w14:textId="77777777" w:rsidR="003A7A3F" w:rsidRPr="004C4687" w:rsidRDefault="003A7A3F" w:rsidP="003A7A3F">
      <w:pPr>
        <w:numPr>
          <w:ilvl w:val="0"/>
          <w:numId w:val="3"/>
        </w:numPr>
        <w:spacing w:line="253" w:lineRule="atLeast"/>
        <w:rPr>
          <w:rFonts w:eastAsia="Times New Roman" w:cs="Times New Roman"/>
          <w:color w:val="000000"/>
          <w:sz w:val="22"/>
          <w:szCs w:val="22"/>
        </w:rPr>
      </w:pPr>
      <w:r w:rsidRPr="004C4687">
        <w:rPr>
          <w:rFonts w:eastAsia="Times New Roman" w:cs="Times New Roman"/>
          <w:color w:val="000000"/>
          <w:sz w:val="22"/>
          <w:szCs w:val="22"/>
        </w:rPr>
        <w:t>What other factors, if any, contribute to credibility but cannot be reported within the TSR structure? In requesting this information, we seek to identify credibility activities/issues and appropriate ways to report them at upcoming IMAG/MSM meetings. </w:t>
      </w:r>
    </w:p>
    <w:p w14:paraId="2C97711E" w14:textId="77777777" w:rsidR="005E0940" w:rsidRDefault="005E0940">
      <w:pPr>
        <w:rPr>
          <w:sz w:val="22"/>
          <w:szCs w:val="22"/>
        </w:rPr>
      </w:pPr>
    </w:p>
    <w:p w14:paraId="6B7425D5" w14:textId="161424E8" w:rsidR="00A343E5" w:rsidRPr="004C4687" w:rsidRDefault="00DF2C1E" w:rsidP="00A343E5">
      <w:pPr>
        <w:ind w:left="1440"/>
        <w:rPr>
          <w:sz w:val="22"/>
          <w:szCs w:val="22"/>
        </w:rPr>
      </w:pPr>
      <w:r>
        <w:rPr>
          <w:rFonts w:eastAsia="Times New Roman" w:cs="Times New Roman"/>
          <w:color w:val="2F5496" w:themeColor="accent1" w:themeShade="BF"/>
          <w:sz w:val="22"/>
          <w:szCs w:val="22"/>
        </w:rPr>
        <w:t xml:space="preserve">Model credibility is best </w:t>
      </w:r>
      <w:r w:rsidR="00CD4C5B">
        <w:rPr>
          <w:rFonts w:eastAsia="Times New Roman" w:cs="Times New Roman"/>
          <w:color w:val="2F5496" w:themeColor="accent1" w:themeShade="BF"/>
          <w:sz w:val="22"/>
          <w:szCs w:val="22"/>
        </w:rPr>
        <w:t xml:space="preserve">evaluated </w:t>
      </w:r>
      <w:r>
        <w:rPr>
          <w:rFonts w:eastAsia="Times New Roman" w:cs="Times New Roman"/>
          <w:color w:val="2F5496" w:themeColor="accent1" w:themeShade="BF"/>
          <w:sz w:val="22"/>
          <w:szCs w:val="22"/>
        </w:rPr>
        <w:t xml:space="preserve">by the </w:t>
      </w:r>
      <w:r w:rsidR="00CD4C5B">
        <w:rPr>
          <w:rFonts w:eastAsia="Times New Roman" w:cs="Times New Roman"/>
          <w:color w:val="2F5496" w:themeColor="accent1" w:themeShade="BF"/>
          <w:sz w:val="22"/>
          <w:szCs w:val="22"/>
        </w:rPr>
        <w:t xml:space="preserve">unbiased </w:t>
      </w:r>
      <w:r>
        <w:rPr>
          <w:rFonts w:eastAsia="Times New Roman" w:cs="Times New Roman"/>
          <w:color w:val="2F5496" w:themeColor="accent1" w:themeShade="BF"/>
          <w:sz w:val="22"/>
          <w:szCs w:val="22"/>
        </w:rPr>
        <w:t>user who needs the information coming out of the model the most. If there is a way to identify these people during the model building process and solicit their feedback more regularly, that would be very beneficial</w:t>
      </w:r>
      <w:r w:rsidR="00CD4C5B">
        <w:rPr>
          <w:rFonts w:eastAsia="Times New Roman" w:cs="Times New Roman"/>
          <w:color w:val="2F5496" w:themeColor="accent1" w:themeShade="BF"/>
          <w:sz w:val="22"/>
          <w:szCs w:val="22"/>
        </w:rPr>
        <w:t xml:space="preserve"> to ensuring model credibility</w:t>
      </w:r>
      <w:r>
        <w:rPr>
          <w:rFonts w:eastAsia="Times New Roman" w:cs="Times New Roman"/>
          <w:color w:val="2F5496" w:themeColor="accent1" w:themeShade="BF"/>
          <w:sz w:val="22"/>
          <w:szCs w:val="22"/>
        </w:rPr>
        <w:t xml:space="preserve">. Is it possible to engage non-modelers in the community </w:t>
      </w:r>
      <w:r w:rsidR="00CD4C5B">
        <w:rPr>
          <w:rFonts w:eastAsia="Times New Roman" w:cs="Times New Roman"/>
          <w:color w:val="2F5496" w:themeColor="accent1" w:themeShade="BF"/>
          <w:sz w:val="22"/>
          <w:szCs w:val="22"/>
        </w:rPr>
        <w:t xml:space="preserve">early on in the model development process </w:t>
      </w:r>
      <w:r>
        <w:rPr>
          <w:rFonts w:eastAsia="Times New Roman" w:cs="Times New Roman"/>
          <w:color w:val="2F5496" w:themeColor="accent1" w:themeShade="BF"/>
          <w:sz w:val="22"/>
          <w:szCs w:val="22"/>
        </w:rPr>
        <w:t xml:space="preserve">so that there is a “pull” in addition to a “push” when it comes to modeling complex biological &amp; biomedical systems? </w:t>
      </w:r>
    </w:p>
    <w:sectPr w:rsidR="00A343E5" w:rsidRPr="004C4687" w:rsidSect="00FE4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0872"/>
    <w:multiLevelType w:val="multilevel"/>
    <w:tmpl w:val="64E8B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70B25"/>
    <w:multiLevelType w:val="hybridMultilevel"/>
    <w:tmpl w:val="917A9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5C2356"/>
    <w:multiLevelType w:val="hybridMultilevel"/>
    <w:tmpl w:val="92B80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986BCE"/>
    <w:multiLevelType w:val="hybridMultilevel"/>
    <w:tmpl w:val="183E6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27036D"/>
    <w:multiLevelType w:val="hybridMultilevel"/>
    <w:tmpl w:val="207A4D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C0019C4"/>
    <w:multiLevelType w:val="multilevel"/>
    <w:tmpl w:val="52AE372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E7557A"/>
    <w:multiLevelType w:val="multilevel"/>
    <w:tmpl w:val="F05ED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9E7EB4"/>
    <w:multiLevelType w:val="hybridMultilevel"/>
    <w:tmpl w:val="4AA28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6D10B4"/>
    <w:multiLevelType w:val="hybridMultilevel"/>
    <w:tmpl w:val="D40EC8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3F"/>
    <w:rsid w:val="00000DEC"/>
    <w:rsid w:val="000042AC"/>
    <w:rsid w:val="00022172"/>
    <w:rsid w:val="000230B5"/>
    <w:rsid w:val="00042F87"/>
    <w:rsid w:val="00044898"/>
    <w:rsid w:val="00077902"/>
    <w:rsid w:val="000859A1"/>
    <w:rsid w:val="000908D5"/>
    <w:rsid w:val="000C1813"/>
    <w:rsid w:val="000C7042"/>
    <w:rsid w:val="000E0769"/>
    <w:rsid w:val="000E642C"/>
    <w:rsid w:val="00114034"/>
    <w:rsid w:val="0011512E"/>
    <w:rsid w:val="00163201"/>
    <w:rsid w:val="00174CCC"/>
    <w:rsid w:val="00197BA4"/>
    <w:rsid w:val="001B0259"/>
    <w:rsid w:val="001C24B2"/>
    <w:rsid w:val="001D4B8D"/>
    <w:rsid w:val="001F3269"/>
    <w:rsid w:val="001F7BC8"/>
    <w:rsid w:val="00220BE9"/>
    <w:rsid w:val="00236BDB"/>
    <w:rsid w:val="002624D8"/>
    <w:rsid w:val="002853ED"/>
    <w:rsid w:val="002A2D41"/>
    <w:rsid w:val="002A5341"/>
    <w:rsid w:val="002B04E5"/>
    <w:rsid w:val="002C12E5"/>
    <w:rsid w:val="002F4FBF"/>
    <w:rsid w:val="00300898"/>
    <w:rsid w:val="00315732"/>
    <w:rsid w:val="0032128D"/>
    <w:rsid w:val="00334185"/>
    <w:rsid w:val="003413E1"/>
    <w:rsid w:val="00367208"/>
    <w:rsid w:val="00376D8A"/>
    <w:rsid w:val="003826F2"/>
    <w:rsid w:val="00390F89"/>
    <w:rsid w:val="0039451E"/>
    <w:rsid w:val="003A3162"/>
    <w:rsid w:val="003A7A3F"/>
    <w:rsid w:val="003B139C"/>
    <w:rsid w:val="003B4452"/>
    <w:rsid w:val="003C3D84"/>
    <w:rsid w:val="003D18C0"/>
    <w:rsid w:val="00401229"/>
    <w:rsid w:val="0041513E"/>
    <w:rsid w:val="00421FCA"/>
    <w:rsid w:val="00422CA2"/>
    <w:rsid w:val="00422FB7"/>
    <w:rsid w:val="0046346D"/>
    <w:rsid w:val="00470CF8"/>
    <w:rsid w:val="0048372E"/>
    <w:rsid w:val="004B5992"/>
    <w:rsid w:val="004C4687"/>
    <w:rsid w:val="004F20D3"/>
    <w:rsid w:val="005011FC"/>
    <w:rsid w:val="00540A92"/>
    <w:rsid w:val="005525A4"/>
    <w:rsid w:val="00576C8F"/>
    <w:rsid w:val="005A3E15"/>
    <w:rsid w:val="005E0940"/>
    <w:rsid w:val="005E2CAD"/>
    <w:rsid w:val="00603241"/>
    <w:rsid w:val="00615CD5"/>
    <w:rsid w:val="00627091"/>
    <w:rsid w:val="00633161"/>
    <w:rsid w:val="006353D1"/>
    <w:rsid w:val="0065752E"/>
    <w:rsid w:val="00670180"/>
    <w:rsid w:val="00670F26"/>
    <w:rsid w:val="0068096A"/>
    <w:rsid w:val="00697097"/>
    <w:rsid w:val="006B3039"/>
    <w:rsid w:val="006B356E"/>
    <w:rsid w:val="006B5EF3"/>
    <w:rsid w:val="006D42BC"/>
    <w:rsid w:val="006E4A2C"/>
    <w:rsid w:val="006F0C77"/>
    <w:rsid w:val="006F62FA"/>
    <w:rsid w:val="006F6E55"/>
    <w:rsid w:val="00717CEB"/>
    <w:rsid w:val="007417FF"/>
    <w:rsid w:val="0075534E"/>
    <w:rsid w:val="00761BDB"/>
    <w:rsid w:val="00786559"/>
    <w:rsid w:val="00792869"/>
    <w:rsid w:val="0079783D"/>
    <w:rsid w:val="007A58FE"/>
    <w:rsid w:val="007E1632"/>
    <w:rsid w:val="00800FAE"/>
    <w:rsid w:val="00813690"/>
    <w:rsid w:val="00824828"/>
    <w:rsid w:val="008323D5"/>
    <w:rsid w:val="0083600A"/>
    <w:rsid w:val="008770E7"/>
    <w:rsid w:val="008B2419"/>
    <w:rsid w:val="008C3146"/>
    <w:rsid w:val="008F127D"/>
    <w:rsid w:val="009307BA"/>
    <w:rsid w:val="00972589"/>
    <w:rsid w:val="009B1296"/>
    <w:rsid w:val="009B5C47"/>
    <w:rsid w:val="009C2C8C"/>
    <w:rsid w:val="009C7224"/>
    <w:rsid w:val="009D2EB2"/>
    <w:rsid w:val="009F137E"/>
    <w:rsid w:val="00A13571"/>
    <w:rsid w:val="00A13ECC"/>
    <w:rsid w:val="00A343E5"/>
    <w:rsid w:val="00A505C5"/>
    <w:rsid w:val="00A52987"/>
    <w:rsid w:val="00A67DF9"/>
    <w:rsid w:val="00A72AF8"/>
    <w:rsid w:val="00A761C7"/>
    <w:rsid w:val="00A77F78"/>
    <w:rsid w:val="00AC1BED"/>
    <w:rsid w:val="00AD3532"/>
    <w:rsid w:val="00B2300E"/>
    <w:rsid w:val="00B31575"/>
    <w:rsid w:val="00B4514D"/>
    <w:rsid w:val="00B4792C"/>
    <w:rsid w:val="00B758C8"/>
    <w:rsid w:val="00BD2789"/>
    <w:rsid w:val="00BD6813"/>
    <w:rsid w:val="00BE0613"/>
    <w:rsid w:val="00BF0B21"/>
    <w:rsid w:val="00C10345"/>
    <w:rsid w:val="00C22A54"/>
    <w:rsid w:val="00C449F9"/>
    <w:rsid w:val="00C70FD9"/>
    <w:rsid w:val="00C972D9"/>
    <w:rsid w:val="00C97FFE"/>
    <w:rsid w:val="00CB6502"/>
    <w:rsid w:val="00CB7848"/>
    <w:rsid w:val="00CD07F7"/>
    <w:rsid w:val="00CD4C5B"/>
    <w:rsid w:val="00D27492"/>
    <w:rsid w:val="00D319FD"/>
    <w:rsid w:val="00D41731"/>
    <w:rsid w:val="00D438B4"/>
    <w:rsid w:val="00D55E6E"/>
    <w:rsid w:val="00D6172F"/>
    <w:rsid w:val="00D61C96"/>
    <w:rsid w:val="00D84792"/>
    <w:rsid w:val="00DA7B3F"/>
    <w:rsid w:val="00DC144A"/>
    <w:rsid w:val="00DE61E2"/>
    <w:rsid w:val="00DE6297"/>
    <w:rsid w:val="00DF0BE3"/>
    <w:rsid w:val="00DF2C1E"/>
    <w:rsid w:val="00E12B00"/>
    <w:rsid w:val="00E209FD"/>
    <w:rsid w:val="00E228C8"/>
    <w:rsid w:val="00E33905"/>
    <w:rsid w:val="00E4518B"/>
    <w:rsid w:val="00E46049"/>
    <w:rsid w:val="00E74B39"/>
    <w:rsid w:val="00EB1274"/>
    <w:rsid w:val="00EC608C"/>
    <w:rsid w:val="00ED175D"/>
    <w:rsid w:val="00ED567C"/>
    <w:rsid w:val="00F03E25"/>
    <w:rsid w:val="00F253AB"/>
    <w:rsid w:val="00F4199E"/>
    <w:rsid w:val="00FA284D"/>
    <w:rsid w:val="00FA28C5"/>
    <w:rsid w:val="00FA5159"/>
    <w:rsid w:val="00FC52BF"/>
    <w:rsid w:val="00FD7447"/>
    <w:rsid w:val="00FE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BF1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7A3F"/>
  </w:style>
  <w:style w:type="character" w:styleId="Hyperlink">
    <w:name w:val="Hyperlink"/>
    <w:basedOn w:val="DefaultParagraphFont"/>
    <w:uiPriority w:val="99"/>
    <w:semiHidden/>
    <w:unhideWhenUsed/>
    <w:rsid w:val="003A7A3F"/>
    <w:rPr>
      <w:color w:val="0000FF"/>
      <w:u w:val="single"/>
    </w:rPr>
  </w:style>
  <w:style w:type="paragraph" w:styleId="NormalWeb">
    <w:name w:val="Normal (Web)"/>
    <w:basedOn w:val="Normal"/>
    <w:uiPriority w:val="99"/>
    <w:semiHidden/>
    <w:unhideWhenUsed/>
    <w:rsid w:val="00ED175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B4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5001">
      <w:bodyDiv w:val="1"/>
      <w:marLeft w:val="0"/>
      <w:marRight w:val="0"/>
      <w:marTop w:val="0"/>
      <w:marBottom w:val="0"/>
      <w:divBdr>
        <w:top w:val="none" w:sz="0" w:space="0" w:color="auto"/>
        <w:left w:val="none" w:sz="0" w:space="0" w:color="auto"/>
        <w:bottom w:val="none" w:sz="0" w:space="0" w:color="auto"/>
        <w:right w:val="none" w:sz="0" w:space="0" w:color="auto"/>
      </w:divBdr>
    </w:div>
    <w:div w:id="249781737">
      <w:bodyDiv w:val="1"/>
      <w:marLeft w:val="0"/>
      <w:marRight w:val="0"/>
      <w:marTop w:val="0"/>
      <w:marBottom w:val="0"/>
      <w:divBdr>
        <w:top w:val="none" w:sz="0" w:space="0" w:color="auto"/>
        <w:left w:val="none" w:sz="0" w:space="0" w:color="auto"/>
        <w:bottom w:val="none" w:sz="0" w:space="0" w:color="auto"/>
        <w:right w:val="none" w:sz="0" w:space="0" w:color="auto"/>
      </w:divBdr>
      <w:divsChild>
        <w:div w:id="7781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8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lthus.micro.med.umich.edu/GranS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tk.org/plugins/moinmoin/cpms/Ten%20Simple%20Rules%20of%20Credible%20Practice" TargetMode="External"/><Relationship Id="rId5" Type="http://schemas.openxmlformats.org/officeDocument/2006/relationships/hyperlink" Target="https://www.imagwiki.nibib.nih.gov/content/msm-participa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10701</Characters>
  <Application>Microsoft Office Word</Application>
  <DocSecurity>0</DocSecurity>
  <Lines>187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 PEIRCE-COTTLER</dc:creator>
  <cp:keywords/>
  <dc:description/>
  <cp:lastModifiedBy>Silvia Blemker</cp:lastModifiedBy>
  <cp:revision>2</cp:revision>
  <dcterms:created xsi:type="dcterms:W3CDTF">2018-10-01T20:33:00Z</dcterms:created>
  <dcterms:modified xsi:type="dcterms:W3CDTF">2018-10-01T20:33:00Z</dcterms:modified>
</cp:coreProperties>
</file>