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proofErr w:type="spellStart"/>
          <w:r w:rsidR="00523F20">
            <w:rPr>
              <w:b/>
            </w:rPr>
            <w:t>Dov</w:t>
          </w:r>
          <w:proofErr w:type="spellEnd"/>
          <w:r w:rsidR="00523F20">
            <w:rPr>
              <w:b/>
            </w:rPr>
            <w:t xml:space="preserve"> Jaron</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523F20">
            <w:rPr>
              <w:b/>
            </w:rPr>
            <w:t>Drexel University</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4F76A4">
            <w:rPr>
              <w:b/>
            </w:rPr>
            <w:t>U01 HL 116256</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523F20">
            <w:t>Multiscale, Transport-Dependent NO Signaling: Cells to Vascular Networks</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650507"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3518C7" w:rsidRDefault="00675754" w:rsidP="008613E5">
          <w:pPr>
            <w:spacing w:after="0"/>
            <w:ind w:firstLine="720"/>
          </w:pPr>
          <w:r>
            <w:t>Our</w:t>
          </w:r>
          <w:r w:rsidR="00523F20">
            <w:t xml:space="preserve"> research is addressing the 9</w:t>
          </w:r>
          <w:r w:rsidR="00523F20" w:rsidRPr="00523F20">
            <w:rPr>
              <w:vertAlign w:val="superscript"/>
            </w:rPr>
            <w:t>th</w:t>
          </w:r>
          <w:r w:rsidR="00523F20">
            <w:t xml:space="preserve"> challenge</w:t>
          </w:r>
          <w:r w:rsidR="003518C7">
            <w:t xml:space="preserve"> in the IMAG report</w:t>
          </w:r>
          <w:r w:rsidR="00523F20">
            <w:t xml:space="preserve">: Model predictions that drive a community of experimentalists towards systematic testing and validation. </w:t>
          </w:r>
        </w:p>
        <w:p w:rsidR="008668CE" w:rsidRDefault="003518C7" w:rsidP="008613E5">
          <w:pPr>
            <w:spacing w:after="0"/>
            <w:ind w:firstLine="720"/>
          </w:pPr>
          <w:r>
            <w:t>We are developing s</w:t>
          </w:r>
          <w:r w:rsidR="00243AF3">
            <w:t xml:space="preserve">everal </w:t>
          </w:r>
          <w:r w:rsidR="0005040E">
            <w:t xml:space="preserve">computer </w:t>
          </w:r>
          <w:r w:rsidR="00243AF3">
            <w:t xml:space="preserve">models to predict </w:t>
          </w:r>
          <w:r w:rsidR="00675754">
            <w:t>how the shear stress and O2-dependent rate of nitric oxide (NO) production (RNO) affects blood flow and O2-delivery for different conditions. We are also conducting in vivo experiments in the exteriorized rat mesentery microcirculation to measure perivascular NO values simultaneously with arteriolar diameter changes for different experimental conditions. For the spring MSM meeting</w:t>
          </w:r>
          <w:r w:rsidR="008668CE">
            <w:t>,</w:t>
          </w:r>
          <w:r w:rsidR="00675754">
            <w:t xml:space="preserve"> we will present results of a dynamic model for changes in vascular diameter, blood flow, and average NO in vascular smooth muscle for a simplified microcirculatory network consisting of dividing small arteries, large arterioles, intermediate arterioles, and small arterioles</w:t>
          </w:r>
          <w:r w:rsidR="008668CE">
            <w:t xml:space="preserve"> arranged in a parallel tree</w:t>
          </w:r>
          <w:r w:rsidR="00675754">
            <w:t>. Anatomical information (length</w:t>
          </w:r>
          <w:r w:rsidR="008668CE">
            <w:t>s</w:t>
          </w:r>
          <w:r w:rsidR="00675754">
            <w:t xml:space="preserve">, </w:t>
          </w:r>
          <w:r w:rsidR="008668CE">
            <w:t xml:space="preserve">initial </w:t>
          </w:r>
          <w:r w:rsidR="00675754">
            <w:t xml:space="preserve">diameters, width of vascular smooth muscle in the wall, endothelial cell layer thickness, </w:t>
          </w:r>
          <w:r w:rsidR="008668CE">
            <w:t xml:space="preserve">numbers of vessels, </w:t>
          </w:r>
          <w:proofErr w:type="spellStart"/>
          <w:r w:rsidR="008668CE">
            <w:t>etc</w:t>
          </w:r>
          <w:proofErr w:type="spellEnd"/>
          <w:r w:rsidR="00675754">
            <w:t>)</w:t>
          </w:r>
          <w:r w:rsidR="008668CE">
            <w:t xml:space="preserve"> are taken from the literature.</w:t>
          </w:r>
          <w:r w:rsidR="00675754">
            <w:t xml:space="preserve"> </w:t>
          </w:r>
          <w:r w:rsidR="008668CE">
            <w:t>Th</w:t>
          </w:r>
          <w:r w:rsidR="00675754">
            <w:t>e model includes</w:t>
          </w:r>
          <w:r w:rsidR="008668CE">
            <w:t xml:space="preserve"> passive and active (NO-dependent) components for a myogenic response, as well as shear stress and O2 dependent RNO. </w:t>
          </w:r>
          <w:r w:rsidR="00675754">
            <w:t xml:space="preserve"> </w:t>
          </w:r>
          <w:r w:rsidR="008668CE">
            <w:t>The changes in overall blood pressure drop across the network (A) and individual blood flow rates in each vessel type (B) are shown below</w:t>
          </w:r>
          <w:r w:rsidR="0005040E">
            <w:t xml:space="preserve"> for 5 different values of RNO</w:t>
          </w:r>
          <w:r>
            <w:t>, including the case where RNO is zero</w:t>
          </w:r>
          <w:r w:rsidR="008668CE">
            <w:t>:</w:t>
          </w:r>
        </w:p>
        <w:p w:rsidR="008668CE" w:rsidRDefault="008668CE" w:rsidP="008668CE">
          <w:pPr>
            <w:spacing w:after="0"/>
          </w:pPr>
          <w:r w:rsidRPr="008668CE">
            <w:rPr>
              <w:noProof/>
            </w:rPr>
            <w:lastRenderedPageBreak/>
            <w:drawing>
              <wp:inline distT="0" distB="0" distL="0" distR="0">
                <wp:extent cx="5943600" cy="3343797"/>
                <wp:effectExtent l="0" t="0" r="0" b="9525"/>
                <wp:docPr id="1" name="Picture 1" descr="C:\Drexel\IAMG2018\abstract figure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exel\IAMG2018\abstract figures\Slid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797"/>
                        </a:xfrm>
                        <a:prstGeom prst="rect">
                          <a:avLst/>
                        </a:prstGeom>
                        <a:noFill/>
                        <a:ln>
                          <a:noFill/>
                        </a:ln>
                      </pic:spPr>
                    </pic:pic>
                  </a:graphicData>
                </a:graphic>
              </wp:inline>
            </w:drawing>
          </w:r>
        </w:p>
        <w:p w:rsidR="008C74B1" w:rsidRDefault="008C74B1" w:rsidP="008668CE">
          <w:pPr>
            <w:spacing w:after="0"/>
          </w:pPr>
          <w:r>
            <w:t xml:space="preserve">Note that the complete absence of NO (dotted lines, </w:t>
          </w:r>
          <w:r w:rsidR="003518C7">
            <w:t>zer</w:t>
          </w:r>
          <w:r>
            <w:t xml:space="preserve">o NO production) predicts the lowest blood pressure at the capillaries, resulting in the lowest blood flow. </w:t>
          </w:r>
        </w:p>
        <w:p w:rsidR="0005040E" w:rsidRDefault="0005040E" w:rsidP="008C74B1">
          <w:pPr>
            <w:spacing w:after="0"/>
            <w:ind w:firstLine="720"/>
          </w:pPr>
          <w:r>
            <w:t>The dynamic changes in vascular diameter for these 5 conditions are shown below for each vessel category:</w:t>
          </w:r>
        </w:p>
        <w:p w:rsidR="0005040E" w:rsidRDefault="0005040E" w:rsidP="008668CE">
          <w:pPr>
            <w:spacing w:after="0"/>
          </w:pPr>
          <w:r w:rsidRPr="0005040E">
            <w:rPr>
              <w:noProof/>
            </w:rPr>
            <w:drawing>
              <wp:inline distT="0" distB="0" distL="0" distR="0">
                <wp:extent cx="5943600" cy="3343797"/>
                <wp:effectExtent l="0" t="0" r="0" b="9525"/>
                <wp:docPr id="2" name="Picture 2" descr="C:\Drexel\IAMG2018\abstract figure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exel\IAMG2018\abstract figures\Slid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797"/>
                        </a:xfrm>
                        <a:prstGeom prst="rect">
                          <a:avLst/>
                        </a:prstGeom>
                        <a:noFill/>
                        <a:ln>
                          <a:noFill/>
                        </a:ln>
                      </pic:spPr>
                    </pic:pic>
                  </a:graphicData>
                </a:graphic>
              </wp:inline>
            </w:drawing>
          </w:r>
        </w:p>
        <w:p w:rsidR="001608DB" w:rsidRDefault="0005040E" w:rsidP="008668CE">
          <w:pPr>
            <w:spacing w:after="0"/>
          </w:pPr>
          <w:r>
            <w:t>We anticipate that our model predictions will help experimentalists design and interpret their studies of the microcirculation in different organs.</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lastRenderedPageBreak/>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7540FA">
            <w:t>No</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7540FA">
            <w:t>We are also developing other microcirculatory models, including effects of unequal distributions of hematocrit at vessel bifurcations</w:t>
          </w:r>
          <w:r w:rsidR="00D80859">
            <w:t xml:space="preserve"> in a hypothetical microvascular unit that includes </w:t>
          </w:r>
          <w:r w:rsidR="000D2544">
            <w:t xml:space="preserve">5 branching arterioles that feed </w:t>
          </w:r>
          <w:r w:rsidR="00D80859">
            <w:t>11 capillaries</w:t>
          </w:r>
          <w:r w:rsidR="007540FA">
            <w:t>. We evaluated 2 different models</w:t>
          </w:r>
          <w:r w:rsidR="00D80859">
            <w:t xml:space="preserve"> (A</w:t>
          </w:r>
          <w:r w:rsidR="00A33D18">
            <w:t xml:space="preserve"> – Pries and </w:t>
          </w:r>
          <w:proofErr w:type="spellStart"/>
          <w:r w:rsidR="00A33D18">
            <w:t>Secomb</w:t>
          </w:r>
          <w:proofErr w:type="spellEnd"/>
          <w:r w:rsidR="00A33D18">
            <w:t xml:space="preserve">, 2005; </w:t>
          </w:r>
          <w:r w:rsidR="00D80859">
            <w:t>B</w:t>
          </w:r>
          <w:r w:rsidR="00A33D18">
            <w:t xml:space="preserve"> – Gould and </w:t>
          </w:r>
          <w:proofErr w:type="spellStart"/>
          <w:r w:rsidR="00A33D18">
            <w:t>Linninger</w:t>
          </w:r>
          <w:proofErr w:type="spellEnd"/>
          <w:r w:rsidR="00650507">
            <w:t>,</w:t>
          </w:r>
          <w:r w:rsidR="00A33D18">
            <w:t xml:space="preserve"> 2015</w:t>
          </w:r>
          <w:r w:rsidR="00D80859">
            <w:t>)</w:t>
          </w:r>
          <w:r w:rsidR="007540FA">
            <w:t xml:space="preserve"> that have been proposed in the literature, and found a significant difference between </w:t>
          </w:r>
          <w:r w:rsidR="00D80859">
            <w:t xml:space="preserve">the </w:t>
          </w:r>
          <w:r w:rsidR="007540FA">
            <w:t xml:space="preserve">models which affects downstream values of vascular smooth muscle NO in different branches, as well as differences in O2 delivery. </w:t>
          </w:r>
          <w:r w:rsidR="00D80859">
            <w:t xml:space="preserve">The </w:t>
          </w:r>
          <w:r w:rsidR="00361F89">
            <w:t xml:space="preserve">average </w:t>
          </w:r>
          <w:r w:rsidR="00D80859">
            <w:t xml:space="preserve">differences in hematocrit and wall shear </w:t>
          </w:r>
          <w:bookmarkStart w:id="0" w:name="_GoBack"/>
          <w:bookmarkEnd w:id="0"/>
          <w:r w:rsidR="00D80859">
            <w:t xml:space="preserve">stress in each vessel in the network </w:t>
          </w:r>
          <w:r w:rsidR="00361F89">
            <w:t xml:space="preserve">predicted for the 2 models </w:t>
          </w:r>
          <w:r w:rsidR="00D80859">
            <w:t xml:space="preserve">are shown below: </w:t>
          </w:r>
          <w:r w:rsidR="00D80859" w:rsidRPr="006F50D8">
            <w:rPr>
              <w:noProof/>
            </w:rPr>
            <w:drawing>
              <wp:inline distT="0" distB="0" distL="0" distR="0" wp14:anchorId="6E030C77" wp14:editId="06022A52">
                <wp:extent cx="5943600" cy="1654810"/>
                <wp:effectExtent l="19050" t="19050" r="1905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852"/>
                        <a:stretch/>
                      </pic:blipFill>
                      <pic:spPr bwMode="auto">
                        <a:xfrm>
                          <a:off x="0" y="0"/>
                          <a:ext cx="5943600" cy="1654810"/>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r w:rsidR="00657A2F">
            <w:t xml:space="preserve">We </w:t>
          </w:r>
          <w:r w:rsidR="000141B1">
            <w:t>are also</w:t>
          </w:r>
          <w:r w:rsidR="00657A2F">
            <w:t xml:space="preserve"> developing a </w:t>
          </w:r>
          <w:r w:rsidR="009B78F2">
            <w:t xml:space="preserve">cellular </w:t>
          </w:r>
          <w:r w:rsidR="00657A2F">
            <w:t>model</w:t>
          </w:r>
          <w:r w:rsidR="009B78F2">
            <w:t xml:space="preserve"> to predict effects of spatial colocalization of endothelial nitric oxide synthase (</w:t>
          </w:r>
          <w:proofErr w:type="spellStart"/>
          <w:r w:rsidR="009B78F2">
            <w:t>eNOS</w:t>
          </w:r>
          <w:proofErr w:type="spellEnd"/>
          <w:r w:rsidR="009B78F2">
            <w:t xml:space="preserve">) with </w:t>
          </w:r>
          <w:proofErr w:type="spellStart"/>
          <w:r w:rsidR="009B78F2">
            <w:t>capacitative</w:t>
          </w:r>
          <w:proofErr w:type="spellEnd"/>
          <w:r w:rsidR="009B78F2">
            <w:t xml:space="preserve"> calcium channels in the endothelial cell membrane on RNO. The model predicts that heterogeneity of </w:t>
          </w:r>
          <w:proofErr w:type="spellStart"/>
          <w:r w:rsidR="009B78F2">
            <w:t>eNOS</w:t>
          </w:r>
          <w:proofErr w:type="spellEnd"/>
          <w:r w:rsidR="009B78F2">
            <w:t xml:space="preserve"> can produce microdomains in the cell membrane with significantly higher calcium concentrations that elevate RNO.</w:t>
          </w:r>
          <w:r w:rsidR="00657A2F">
            <w:t xml:space="preserve"> </w:t>
          </w:r>
          <w:r w:rsidR="005F58B5">
            <w:t xml:space="preserve">Simulation results are shown below for the </w:t>
          </w:r>
          <w:r w:rsidR="005F58B5">
            <w:lastRenderedPageBreak/>
            <w:t>effects of increasing numbers of microdomains on the average calcium concentration:</w:t>
          </w:r>
          <w:r w:rsidR="005F58B5">
            <w:rPr>
              <w:noProof/>
              <w:lang w:eastAsia="zh-CN"/>
            </w:rPr>
            <w:drawing>
              <wp:inline distT="0" distB="0" distL="0" distR="0" wp14:anchorId="70AFDFBB" wp14:editId="262702D8">
                <wp:extent cx="5943600" cy="343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34080"/>
                        </a:xfrm>
                        <a:prstGeom prst="rect">
                          <a:avLst/>
                        </a:prstGeom>
                      </pic:spPr>
                    </pic:pic>
                  </a:graphicData>
                </a:graphic>
              </wp:inline>
            </w:drawing>
          </w:r>
          <w:r w:rsidR="000141B1">
            <w:t xml:space="preserve"> </w:t>
          </w:r>
          <w:r w:rsidR="007540FA">
            <w:t xml:space="preserve">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870F2E">
            <w:t xml:space="preserve">There is a paucity of geometric information from which realistic microcirculatory networks can be constructed, as well as limited physiological data for heterogeneity of NO and pO2 in different organs. Our present computational methods using COMSOL </w:t>
          </w:r>
          <w:r w:rsidR="009700F0">
            <w:t>software would not be sufficient to solve complex mass transport interactions in a network with heterogenous properties.</w:t>
          </w:r>
          <w:r w:rsidR="00870F2E">
            <w:t xml:space="preserve">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284F44">
            <w:rPr>
              <w:i/>
            </w:rPr>
            <w:t>Physiology, modeling: Donald G. Buerk, dgb28@drexel.edu</w:t>
          </w:r>
          <w:r w:rsidR="00B119AC">
            <w:rPr>
              <w:i/>
            </w:rPr>
            <w:t>; Endothelial cell biology, calcium dynamics: Kenneth A. Barbee, kab33@drexel.edu</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1"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B"/>
    <w:rsid w:val="000141B1"/>
    <w:rsid w:val="00040243"/>
    <w:rsid w:val="0005040E"/>
    <w:rsid w:val="000D2544"/>
    <w:rsid w:val="001608DB"/>
    <w:rsid w:val="00175E3C"/>
    <w:rsid w:val="001B0E10"/>
    <w:rsid w:val="001B2746"/>
    <w:rsid w:val="001F68BA"/>
    <w:rsid w:val="00243AF3"/>
    <w:rsid w:val="00284F44"/>
    <w:rsid w:val="00287863"/>
    <w:rsid w:val="00343503"/>
    <w:rsid w:val="003518C7"/>
    <w:rsid w:val="00361F89"/>
    <w:rsid w:val="004F76A4"/>
    <w:rsid w:val="00523F20"/>
    <w:rsid w:val="00554DE6"/>
    <w:rsid w:val="005E080B"/>
    <w:rsid w:val="005F58B5"/>
    <w:rsid w:val="00650507"/>
    <w:rsid w:val="00657A2F"/>
    <w:rsid w:val="00675754"/>
    <w:rsid w:val="007540FA"/>
    <w:rsid w:val="007810E5"/>
    <w:rsid w:val="008613E5"/>
    <w:rsid w:val="008668CE"/>
    <w:rsid w:val="00870F2E"/>
    <w:rsid w:val="008C74B1"/>
    <w:rsid w:val="009168C3"/>
    <w:rsid w:val="009352F4"/>
    <w:rsid w:val="009700F0"/>
    <w:rsid w:val="009B78F2"/>
    <w:rsid w:val="00A33D18"/>
    <w:rsid w:val="00A702C5"/>
    <w:rsid w:val="00AB2C6E"/>
    <w:rsid w:val="00B119AC"/>
    <w:rsid w:val="00BE0D63"/>
    <w:rsid w:val="00BE447D"/>
    <w:rsid w:val="00C10B23"/>
    <w:rsid w:val="00C36629"/>
    <w:rsid w:val="00C861D4"/>
    <w:rsid w:val="00D5631E"/>
    <w:rsid w:val="00D80859"/>
    <w:rsid w:val="00DC54F0"/>
    <w:rsid w:val="00E7437F"/>
    <w:rsid w:val="00F45EA3"/>
    <w:rsid w:val="00FA1277"/>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0CFA"/>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NIBIBimag@mail.nih.gov" TargetMode="External"/><Relationship Id="rId5" Type="http://schemas.openxmlformats.org/officeDocument/2006/relationships/hyperlink" Target="mailto:NIBIBimag@mail.nih.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BC4EB0"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8"/>
    <w:rsid w:val="000C5498"/>
    <w:rsid w:val="003520CE"/>
    <w:rsid w:val="00376D26"/>
    <w:rsid w:val="00624FFF"/>
    <w:rsid w:val="006579B6"/>
    <w:rsid w:val="008C5BC2"/>
    <w:rsid w:val="00997B40"/>
    <w:rsid w:val="00BC4EB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A078-2B7F-46B8-AECA-41D2E60B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Buerk,Donald</cp:lastModifiedBy>
  <cp:revision>19</cp:revision>
  <dcterms:created xsi:type="dcterms:W3CDTF">2018-01-08T15:05:00Z</dcterms:created>
  <dcterms:modified xsi:type="dcterms:W3CDTF">2018-01-08T17:07:00Z</dcterms:modified>
</cp:coreProperties>
</file>