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9D" w:rsidRDefault="00F9089D" w:rsidP="00F9089D">
      <w:pPr>
        <w:rPr>
          <w:rFonts w:ascii="Calibri" w:eastAsia="Times New Roman" w:hAnsi="Calibri"/>
          <w:color w:val="000000"/>
          <w:sz w:val="21"/>
          <w:szCs w:val="21"/>
        </w:rPr>
      </w:pPr>
    </w:p>
    <w:p w:rsidR="00F9089D" w:rsidRDefault="00F9089D" w:rsidP="00F9089D">
      <w:pPr>
        <w:pStyle w:val="NormalWeb"/>
        <w:spacing w:before="0" w:beforeAutospacing="0" w:after="0" w:afterAutospacing="0"/>
        <w:jc w:val="center"/>
        <w:rPr>
          <w:rFonts w:ascii="Arial" w:hAnsi="Arial" w:cs="Arial"/>
          <w:color w:val="000000"/>
          <w:sz w:val="22"/>
          <w:szCs w:val="22"/>
        </w:rPr>
      </w:pPr>
      <w:proofErr w:type="spellStart"/>
      <w:r>
        <w:rPr>
          <w:rFonts w:ascii="Arial" w:hAnsi="Arial" w:cs="Arial"/>
          <w:color w:val="000000"/>
          <w:sz w:val="22"/>
          <w:szCs w:val="22"/>
        </w:rPr>
        <w:t>Biocellion</w:t>
      </w:r>
      <w:proofErr w:type="spellEnd"/>
      <w:r>
        <w:rPr>
          <w:rFonts w:ascii="Arial" w:hAnsi="Arial" w:cs="Arial"/>
          <w:color w:val="000000"/>
          <w:sz w:val="22"/>
          <w:szCs w:val="22"/>
        </w:rPr>
        <w:t>: a large capacity modeling platform for multicellular biological systems</w:t>
      </w:r>
    </w:p>
    <w:p w:rsidR="00F9089D" w:rsidRDefault="00F9089D" w:rsidP="00F9089D">
      <w:pPr>
        <w:pStyle w:val="NormalWeb"/>
        <w:spacing w:before="0" w:beforeAutospacing="0" w:after="0" w:afterAutospacing="0"/>
        <w:jc w:val="center"/>
        <w:rPr>
          <w:rFonts w:ascii="Arial" w:hAnsi="Arial" w:cs="Arial"/>
          <w:color w:val="000000"/>
          <w:sz w:val="22"/>
          <w:szCs w:val="22"/>
        </w:rPr>
      </w:pPr>
    </w:p>
    <w:p w:rsidR="00F9089D" w:rsidRDefault="00F9089D" w:rsidP="00F9089D">
      <w:pPr>
        <w:pStyle w:val="NormalWeb"/>
        <w:spacing w:before="0" w:beforeAutospacing="0" w:after="0" w:afterAutospacing="0"/>
        <w:jc w:val="center"/>
        <w:rPr>
          <w:rFonts w:ascii="Calibri" w:hAnsi="Calibri"/>
          <w:color w:val="000000"/>
          <w:sz w:val="21"/>
          <w:szCs w:val="21"/>
        </w:rPr>
      </w:pPr>
      <w:proofErr w:type="spellStart"/>
      <w:r>
        <w:rPr>
          <w:rFonts w:ascii="Arial" w:hAnsi="Arial" w:cs="Arial"/>
          <w:color w:val="000000"/>
          <w:sz w:val="22"/>
          <w:szCs w:val="22"/>
        </w:rPr>
        <w:t>Seunghwa</w:t>
      </w:r>
      <w:proofErr w:type="spellEnd"/>
      <w:r>
        <w:rPr>
          <w:rFonts w:ascii="Arial" w:hAnsi="Arial" w:cs="Arial"/>
          <w:color w:val="000000"/>
          <w:sz w:val="22"/>
          <w:szCs w:val="22"/>
        </w:rPr>
        <w:t xml:space="preserve"> Kang</w:t>
      </w:r>
      <w:bookmarkStart w:id="0" w:name="_GoBack"/>
      <w:bookmarkEnd w:id="0"/>
    </w:p>
    <w:p w:rsidR="00F9089D" w:rsidRDefault="00F9089D" w:rsidP="00F9089D">
      <w:pPr>
        <w:rPr>
          <w:rFonts w:ascii="Calibri" w:eastAsia="Times New Roman" w:hAnsi="Calibri"/>
          <w:color w:val="000000"/>
          <w:sz w:val="21"/>
          <w:szCs w:val="21"/>
        </w:rPr>
      </w:pPr>
    </w:p>
    <w:p w:rsidR="00F9089D" w:rsidRDefault="00F9089D" w:rsidP="00F9089D">
      <w:pPr>
        <w:pStyle w:val="NormalWeb"/>
        <w:spacing w:before="0" w:beforeAutospacing="0" w:after="0" w:afterAutospacing="0"/>
        <w:rPr>
          <w:rFonts w:ascii="Calibri" w:hAnsi="Calibri"/>
          <w:color w:val="000000"/>
          <w:sz w:val="21"/>
          <w:szCs w:val="21"/>
        </w:rPr>
      </w:pPr>
      <w:r>
        <w:rPr>
          <w:rFonts w:ascii="Arial" w:hAnsi="Arial" w:cs="Arial"/>
          <w:color w:val="000000"/>
          <w:sz w:val="22"/>
          <w:szCs w:val="22"/>
        </w:rPr>
        <w:t xml:space="preserve">We present the </w:t>
      </w:r>
      <w:proofErr w:type="spellStart"/>
      <w:r>
        <w:rPr>
          <w:rFonts w:ascii="Arial" w:hAnsi="Arial" w:cs="Arial"/>
          <w:color w:val="000000"/>
          <w:sz w:val="22"/>
          <w:szCs w:val="22"/>
        </w:rPr>
        <w:t>Biocellion</w:t>
      </w:r>
      <w:proofErr w:type="spellEnd"/>
      <w:r>
        <w:rPr>
          <w:rFonts w:ascii="Arial" w:hAnsi="Arial" w:cs="Arial"/>
          <w:color w:val="000000"/>
          <w:sz w:val="22"/>
          <w:szCs w:val="22"/>
        </w:rPr>
        <w:t xml:space="preserve"> modeling and simulation platform developed at the Pacific Northwest National Laboratory and available free for non-commercial use. </w:t>
      </w:r>
      <w:proofErr w:type="spellStart"/>
      <w:r>
        <w:rPr>
          <w:rFonts w:ascii="Arial" w:hAnsi="Arial" w:cs="Arial"/>
          <w:color w:val="000000"/>
          <w:sz w:val="22"/>
          <w:szCs w:val="22"/>
        </w:rPr>
        <w:t>Biocellion</w:t>
      </w:r>
      <w:proofErr w:type="spellEnd"/>
      <w:r>
        <w:rPr>
          <w:rFonts w:ascii="Arial" w:hAnsi="Arial" w:cs="Arial"/>
          <w:color w:val="000000"/>
          <w:sz w:val="22"/>
          <w:szCs w:val="22"/>
        </w:rPr>
        <w:t xml:space="preserve"> supports multiscale many-cell modeling for a wide range of multicellular biological systems. We have designed </w:t>
      </w:r>
      <w:proofErr w:type="spellStart"/>
      <w:r>
        <w:rPr>
          <w:rFonts w:ascii="Arial" w:hAnsi="Arial" w:cs="Arial"/>
          <w:color w:val="000000"/>
          <w:sz w:val="22"/>
          <w:szCs w:val="22"/>
        </w:rPr>
        <w:t>Biocellion</w:t>
      </w:r>
      <w:proofErr w:type="spellEnd"/>
      <w:r>
        <w:rPr>
          <w:rFonts w:ascii="Arial" w:hAnsi="Arial" w:cs="Arial"/>
          <w:color w:val="000000"/>
          <w:sz w:val="22"/>
          <w:szCs w:val="22"/>
        </w:rPr>
        <w:t xml:space="preserve"> to enable modelers to start simple, following examples and tutorials contributed by our growing community; then to incrementally refine their base models, integrating additional knowledge, to achieve ever increasing fidelity. As models become more complex, the computational cost of simulation grows. However, because </w:t>
      </w:r>
      <w:proofErr w:type="spellStart"/>
      <w:r>
        <w:rPr>
          <w:rFonts w:ascii="Arial" w:hAnsi="Arial" w:cs="Arial"/>
          <w:color w:val="000000"/>
          <w:sz w:val="22"/>
          <w:szCs w:val="22"/>
        </w:rPr>
        <w:t>Biocellion</w:t>
      </w:r>
      <w:proofErr w:type="spellEnd"/>
      <w:r>
        <w:rPr>
          <w:rFonts w:ascii="Arial" w:hAnsi="Arial" w:cs="Arial"/>
          <w:color w:val="000000"/>
          <w:sz w:val="22"/>
          <w:szCs w:val="22"/>
        </w:rPr>
        <w:t xml:space="preserve"> has been designed from the ground up to exploit high-performance computing, time-to-result even for systems having billions of cells, can be kept in check by using commonly available cluster computers. No additional programming is required to accelerate simulation to faster than the speed of life. Simply put, </w:t>
      </w:r>
      <w:proofErr w:type="spellStart"/>
      <w:r>
        <w:rPr>
          <w:rFonts w:ascii="Arial" w:hAnsi="Arial" w:cs="Arial"/>
          <w:color w:val="000000"/>
          <w:sz w:val="22"/>
          <w:szCs w:val="22"/>
        </w:rPr>
        <w:t>Biocellion</w:t>
      </w:r>
      <w:proofErr w:type="spellEnd"/>
      <w:r>
        <w:rPr>
          <w:rFonts w:ascii="Arial" w:hAnsi="Arial" w:cs="Arial"/>
          <w:color w:val="000000"/>
          <w:sz w:val="22"/>
          <w:szCs w:val="22"/>
        </w:rPr>
        <w:t xml:space="preserve"> offers unprecedented modeling and simulation “capacity” for the life </w:t>
      </w:r>
      <w:proofErr w:type="spellStart"/>
      <w:proofErr w:type="gramStart"/>
      <w:r>
        <w:rPr>
          <w:rFonts w:ascii="Arial" w:hAnsi="Arial" w:cs="Arial"/>
          <w:color w:val="000000"/>
          <w:sz w:val="22"/>
          <w:szCs w:val="22"/>
        </w:rPr>
        <w:t>sciences:a</w:t>
      </w:r>
      <w:proofErr w:type="spellEnd"/>
      <w:proofErr w:type="gramEnd"/>
      <w:r>
        <w:rPr>
          <w:rFonts w:ascii="Arial" w:hAnsi="Arial" w:cs="Arial"/>
          <w:color w:val="000000"/>
          <w:sz w:val="22"/>
          <w:szCs w:val="22"/>
        </w:rPr>
        <w:t xml:space="preserve"> product of the </w:t>
      </w:r>
      <w:r>
        <w:rPr>
          <w:i/>
          <w:iCs/>
        </w:rPr>
        <w:t>flexibility</w:t>
      </w:r>
      <w:r>
        <w:t xml:space="preserve"> needed to realize a wide spectrum of component models and the </w:t>
      </w:r>
      <w:r>
        <w:rPr>
          <w:i/>
          <w:iCs/>
        </w:rPr>
        <w:t>performance</w:t>
      </w:r>
      <w:r>
        <w:t xml:space="preserve"> needed to simulate many-cell systems of macroscopic scale.</w:t>
      </w:r>
    </w:p>
    <w:p w:rsidR="00F9089D" w:rsidRDefault="00F9089D" w:rsidP="00F9089D">
      <w:pPr>
        <w:rPr>
          <w:rFonts w:ascii="Calibri" w:eastAsia="Times New Roman" w:hAnsi="Calibri"/>
          <w:color w:val="000000"/>
          <w:sz w:val="21"/>
          <w:szCs w:val="21"/>
        </w:rPr>
      </w:pPr>
    </w:p>
    <w:p w:rsidR="00F9089D" w:rsidRDefault="00F9089D" w:rsidP="00F9089D">
      <w:pPr>
        <w:pStyle w:val="NormalWeb"/>
        <w:spacing w:before="0" w:beforeAutospacing="0" w:after="0" w:afterAutospacing="0"/>
        <w:rPr>
          <w:rFonts w:ascii="Calibri" w:hAnsi="Calibri"/>
          <w:color w:val="000000"/>
          <w:sz w:val="21"/>
          <w:szCs w:val="21"/>
        </w:rPr>
      </w:pPr>
      <w:r>
        <w:rPr>
          <w:rFonts w:ascii="Arial" w:hAnsi="Arial" w:cs="Arial"/>
          <w:color w:val="000000"/>
          <w:sz w:val="22"/>
          <w:szCs w:val="22"/>
        </w:rPr>
        <w:t xml:space="preserve">We demonstrate </w:t>
      </w:r>
      <w:proofErr w:type="spellStart"/>
      <w:r>
        <w:rPr>
          <w:rFonts w:ascii="Arial" w:hAnsi="Arial" w:cs="Arial"/>
          <w:color w:val="000000"/>
          <w:sz w:val="22"/>
          <w:szCs w:val="22"/>
        </w:rPr>
        <w:t>Biocellion’s</w:t>
      </w:r>
      <w:proofErr w:type="spellEnd"/>
      <w:r>
        <w:rPr>
          <w:rFonts w:ascii="Arial" w:hAnsi="Arial" w:cs="Arial"/>
          <w:color w:val="000000"/>
          <w:sz w:val="22"/>
          <w:szCs w:val="22"/>
        </w:rPr>
        <w:t xml:space="preserve"> large capacity through various biological system models developed on </w:t>
      </w:r>
      <w:proofErr w:type="spellStart"/>
      <w:r>
        <w:rPr>
          <w:rFonts w:ascii="Arial" w:hAnsi="Arial" w:cs="Arial"/>
          <w:color w:val="000000"/>
          <w:sz w:val="22"/>
          <w:szCs w:val="22"/>
        </w:rPr>
        <w:t>Biocellion</w:t>
      </w:r>
      <w:proofErr w:type="spellEnd"/>
      <w:r>
        <w:rPr>
          <w:rFonts w:ascii="Arial" w:hAnsi="Arial" w:cs="Arial"/>
          <w:color w:val="000000"/>
          <w:sz w:val="22"/>
          <w:szCs w:val="22"/>
        </w:rPr>
        <w:t>: yeast and bacterial systems in lab and natural environments, skin, gut, blood clotting, and multiple cancer models. We collaborate with academia and industry to further our goal including the Institute for Systems Biology, University of Washington, Utah State University, Fred Hutchinson Cancer Research Center, Procter and Gamble, and Celgene as our key collaborators.</w:t>
      </w:r>
    </w:p>
    <w:p w:rsidR="00F9089D" w:rsidRDefault="00F9089D" w:rsidP="00F9089D">
      <w:pPr>
        <w:rPr>
          <w:rFonts w:ascii="Calibri" w:eastAsia="Times New Roman" w:hAnsi="Calibri"/>
          <w:color w:val="000000"/>
          <w:sz w:val="21"/>
          <w:szCs w:val="21"/>
        </w:rPr>
      </w:pPr>
      <w:r>
        <w:rPr>
          <w:rFonts w:ascii="Calibri" w:eastAsia="Times New Roman" w:hAnsi="Calibri"/>
          <w:color w:val="000000"/>
          <w:sz w:val="21"/>
          <w:szCs w:val="21"/>
        </w:rPr>
        <w:br/>
      </w:r>
      <w:r>
        <w:rPr>
          <w:rFonts w:ascii="Arial" w:eastAsia="Times New Roman" w:hAnsi="Arial" w:cs="Arial"/>
          <w:color w:val="000000"/>
          <w:sz w:val="22"/>
          <w:szCs w:val="22"/>
        </w:rPr>
        <w:t xml:space="preserve">We continue to build an ecosystem around </w:t>
      </w:r>
      <w:proofErr w:type="spellStart"/>
      <w:r>
        <w:rPr>
          <w:rFonts w:ascii="Arial" w:eastAsia="Times New Roman" w:hAnsi="Arial" w:cs="Arial"/>
          <w:color w:val="000000"/>
          <w:sz w:val="22"/>
          <w:szCs w:val="22"/>
        </w:rPr>
        <w:t>Biocellion</w:t>
      </w:r>
      <w:proofErr w:type="spellEnd"/>
      <w:r>
        <w:rPr>
          <w:rFonts w:ascii="Arial" w:eastAsia="Times New Roman" w:hAnsi="Arial" w:cs="Arial"/>
          <w:color w:val="000000"/>
          <w:sz w:val="22"/>
          <w:szCs w:val="22"/>
        </w:rPr>
        <w:t xml:space="preserve">. A </w:t>
      </w:r>
      <w:proofErr w:type="spellStart"/>
      <w:r>
        <w:rPr>
          <w:rFonts w:ascii="Arial" w:eastAsia="Times New Roman" w:hAnsi="Arial" w:cs="Arial"/>
          <w:color w:val="000000"/>
          <w:sz w:val="22"/>
          <w:szCs w:val="22"/>
        </w:rPr>
        <w:t>biocellion</w:t>
      </w:r>
      <w:proofErr w:type="spellEnd"/>
      <w:r>
        <w:rPr>
          <w:rFonts w:ascii="Arial" w:eastAsia="Times New Roman" w:hAnsi="Arial" w:cs="Arial"/>
          <w:color w:val="000000"/>
          <w:sz w:val="22"/>
          <w:szCs w:val="22"/>
        </w:rPr>
        <w:t xml:space="preserve"> wiki hosts community contributions of examples and tutorials. A forum provides quick answers to questions from other community members. We have invested in making the 3D visualization tool </w:t>
      </w:r>
      <w:proofErr w:type="spellStart"/>
      <w:r>
        <w:rPr>
          <w:rFonts w:ascii="Arial" w:eastAsia="Times New Roman" w:hAnsi="Arial" w:cs="Arial"/>
          <w:color w:val="000000"/>
          <w:sz w:val="22"/>
          <w:szCs w:val="22"/>
        </w:rPr>
        <w:t>ParaView</w:t>
      </w:r>
      <w:proofErr w:type="spellEnd"/>
      <w:r>
        <w:rPr>
          <w:rFonts w:ascii="Arial" w:eastAsia="Times New Roman" w:hAnsi="Arial" w:cs="Arial"/>
          <w:color w:val="000000"/>
          <w:sz w:val="22"/>
          <w:szCs w:val="22"/>
        </w:rPr>
        <w:t xml:space="preserve">, also a free download, compatible with </w:t>
      </w:r>
      <w:proofErr w:type="spellStart"/>
      <w:r>
        <w:rPr>
          <w:rFonts w:ascii="Arial" w:eastAsia="Times New Roman" w:hAnsi="Arial" w:cs="Arial"/>
          <w:color w:val="000000"/>
          <w:sz w:val="22"/>
          <w:szCs w:val="22"/>
        </w:rPr>
        <w:t>Biocellion</w:t>
      </w:r>
      <w:proofErr w:type="spellEnd"/>
      <w:r>
        <w:rPr>
          <w:rFonts w:ascii="Arial" w:eastAsia="Times New Roman" w:hAnsi="Arial" w:cs="Arial"/>
          <w:color w:val="000000"/>
          <w:sz w:val="22"/>
          <w:szCs w:val="22"/>
        </w:rPr>
        <w:t xml:space="preserve"> output. We are also developing new visualization technologies needed to support truly interactive </w:t>
      </w:r>
      <w:proofErr w:type="gramStart"/>
      <w:r>
        <w:rPr>
          <w:rFonts w:ascii="Arial" w:eastAsia="Times New Roman" w:hAnsi="Arial" w:cs="Arial"/>
          <w:color w:val="000000"/>
          <w:sz w:val="22"/>
          <w:szCs w:val="22"/>
        </w:rPr>
        <w:t>exploration  of</w:t>
      </w:r>
      <w:proofErr w:type="gramEnd"/>
      <w:r>
        <w:rPr>
          <w:rFonts w:ascii="Arial" w:eastAsia="Times New Roman" w:hAnsi="Arial" w:cs="Arial"/>
          <w:color w:val="000000"/>
          <w:sz w:val="22"/>
          <w:szCs w:val="22"/>
        </w:rPr>
        <w:t xml:space="preserve"> the voluminous data produced when </w:t>
      </w:r>
      <w:proofErr w:type="spellStart"/>
      <w:r>
        <w:rPr>
          <w:rFonts w:ascii="Arial" w:eastAsia="Times New Roman" w:hAnsi="Arial" w:cs="Arial"/>
          <w:color w:val="000000"/>
          <w:sz w:val="22"/>
          <w:szCs w:val="22"/>
        </w:rPr>
        <w:t>Biocellion</w:t>
      </w:r>
      <w:proofErr w:type="spellEnd"/>
      <w:r>
        <w:rPr>
          <w:rFonts w:ascii="Arial" w:eastAsia="Times New Roman" w:hAnsi="Arial" w:cs="Arial"/>
          <w:color w:val="000000"/>
          <w:sz w:val="22"/>
          <w:szCs w:val="22"/>
        </w:rPr>
        <w:t xml:space="preserve"> simulates living systems having billions of cells or more. We welcome collaborators in all the needed disciplines -- including mathematics, computer science, biology, chemistry, medicine, engineering -- in academics, government and industry to join us in our pursuit of many-cell modeling using </w:t>
      </w:r>
      <w:proofErr w:type="spellStart"/>
      <w:r>
        <w:rPr>
          <w:rFonts w:ascii="Arial" w:eastAsia="Times New Roman" w:hAnsi="Arial" w:cs="Arial"/>
          <w:color w:val="000000"/>
          <w:sz w:val="22"/>
          <w:szCs w:val="22"/>
        </w:rPr>
        <w:t>Biocellion</w:t>
      </w:r>
      <w:proofErr w:type="spellEnd"/>
      <w:r>
        <w:rPr>
          <w:rFonts w:ascii="Arial" w:eastAsia="Times New Roman" w:hAnsi="Arial" w:cs="Arial"/>
          <w:color w:val="000000"/>
          <w:sz w:val="22"/>
          <w:szCs w:val="22"/>
        </w:rPr>
        <w:t>.</w:t>
      </w:r>
    </w:p>
    <w:p w:rsidR="00F9089D" w:rsidRDefault="00F9089D" w:rsidP="00F9089D">
      <w:pPr>
        <w:rPr>
          <w:rFonts w:ascii="Calibri" w:eastAsia="Times New Roman" w:hAnsi="Calibri"/>
          <w:color w:val="000000"/>
          <w:sz w:val="21"/>
          <w:szCs w:val="21"/>
        </w:rPr>
      </w:pPr>
    </w:p>
    <w:p w:rsidR="00F9089D" w:rsidRDefault="00F9089D" w:rsidP="00F9089D">
      <w:pPr>
        <w:rPr>
          <w:rFonts w:ascii="Calibri" w:eastAsia="Times New Roman" w:hAnsi="Calibri"/>
          <w:color w:val="000000"/>
          <w:sz w:val="21"/>
          <w:szCs w:val="21"/>
        </w:rPr>
      </w:pPr>
    </w:p>
    <w:p w:rsidR="001D6513" w:rsidRDefault="001D6513"/>
    <w:sectPr w:rsidR="001D6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9D"/>
    <w:rsid w:val="001D6513"/>
    <w:rsid w:val="00F9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0682"/>
  <w15:chartTrackingRefBased/>
  <w15:docId w15:val="{089432D2-9F81-4C2F-9E75-B223FFBC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908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8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Selimovic, Seila (NIH/NIBIB) [E]</dc:creator>
  <cp:keywords/>
  <dc:description/>
  <cp:lastModifiedBy>Selimovic, Seila (NIH/NIBIB) [E]</cp:lastModifiedBy>
  <cp:revision>1</cp:revision>
  <dcterms:created xsi:type="dcterms:W3CDTF">2017-02-21T16:16:00Z</dcterms:created>
  <dcterms:modified xsi:type="dcterms:W3CDTF">2017-02-21T16:16:00Z</dcterms:modified>
</cp:coreProperties>
</file>